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936C63" w14:textId="54A97A51" w:rsidR="00946AAB" w:rsidRDefault="00320DD4" w:rsidP="00946AAB">
      <w:pPr>
        <w:spacing w:line="480" w:lineRule="auto"/>
        <w:jc w:val="center"/>
        <w:rPr>
          <w:rFonts w:ascii="Times New Roman" w:hAnsi="Times New Roman" w:cs="Times New Roman"/>
          <w:b/>
          <w:bCs/>
          <w:lang w:val="en-US"/>
        </w:rPr>
      </w:pPr>
      <w:r w:rsidRPr="00320DD4">
        <w:rPr>
          <w:rFonts w:ascii="Times New Roman" w:hAnsi="Times New Roman" w:cs="Times New Roman"/>
          <w:b/>
          <w:bCs/>
          <w:lang w:val="en-US"/>
        </w:rPr>
        <w:t>Appendix</w:t>
      </w:r>
      <w:r w:rsidR="001B2D59">
        <w:rPr>
          <w:rFonts w:ascii="Times New Roman" w:hAnsi="Times New Roman" w:cs="Times New Roman"/>
          <w:b/>
          <w:bCs/>
          <w:lang w:val="en-US"/>
        </w:rPr>
        <w:t xml:space="preserve"> A</w:t>
      </w:r>
    </w:p>
    <w:p w14:paraId="7954673D" w14:textId="6FD4700A" w:rsidR="00AE28A3" w:rsidRPr="00AE28A3" w:rsidRDefault="00946AAB" w:rsidP="00AE28A3">
      <w:pPr>
        <w:spacing w:line="480" w:lineRule="auto"/>
        <w:rPr>
          <w:rFonts w:ascii="Times New Roman" w:hAnsi="Times New Roman" w:cs="Times New Roman"/>
          <w:b/>
          <w:bCs/>
          <w:lang w:val="en-US"/>
        </w:rPr>
      </w:pPr>
      <w:r>
        <w:rPr>
          <w:rFonts w:ascii="Times New Roman" w:hAnsi="Times New Roman" w:cs="Times New Roman"/>
          <w:b/>
          <w:bCs/>
          <w:lang w:val="en-US"/>
        </w:rPr>
        <w:t xml:space="preserve">Study </w:t>
      </w:r>
      <w:r w:rsidR="007C5EB7">
        <w:rPr>
          <w:rFonts w:ascii="Times New Roman" w:hAnsi="Times New Roman" w:cs="Times New Roman"/>
          <w:b/>
          <w:bCs/>
          <w:lang w:val="en-US"/>
        </w:rPr>
        <w:t>1</w:t>
      </w:r>
      <w:r>
        <w:rPr>
          <w:rFonts w:ascii="Times New Roman" w:hAnsi="Times New Roman" w:cs="Times New Roman"/>
          <w:b/>
          <w:bCs/>
          <w:lang w:val="en-US"/>
        </w:rPr>
        <w:t xml:space="preserve"> Additional Information</w:t>
      </w:r>
    </w:p>
    <w:p w14:paraId="794E5708" w14:textId="2754466F" w:rsidR="00172F5E" w:rsidRPr="004048F4" w:rsidRDefault="00161828" w:rsidP="004048F4">
      <w:pPr>
        <w:spacing w:line="480" w:lineRule="auto"/>
        <w:ind w:firstLine="720"/>
        <w:rPr>
          <w:rFonts w:ascii="Times New Roman" w:eastAsia="Calibri" w:hAnsi="Times New Roman" w:cs="Times New Roman"/>
          <w:bCs/>
          <w:lang w:val="en-US"/>
        </w:rPr>
      </w:pPr>
      <w:r w:rsidRPr="00161828">
        <w:rPr>
          <w:rFonts w:ascii="Times New Roman" w:hAnsi="Times New Roman" w:cs="Times New Roman"/>
          <w:b/>
        </w:rPr>
        <w:t xml:space="preserve">Study 1 </w:t>
      </w:r>
      <w:r w:rsidR="007B2177">
        <w:rPr>
          <w:rFonts w:ascii="Times New Roman" w:hAnsi="Times New Roman" w:cs="Times New Roman"/>
          <w:b/>
        </w:rPr>
        <w:t>C</w:t>
      </w:r>
      <w:r w:rsidR="00172F5E" w:rsidRPr="00161828">
        <w:rPr>
          <w:rFonts w:ascii="Times New Roman" w:hAnsi="Times New Roman" w:cs="Times New Roman"/>
          <w:b/>
        </w:rPr>
        <w:t>ontrol</w:t>
      </w:r>
      <w:r w:rsidR="00172F5E" w:rsidRPr="00172F5E">
        <w:rPr>
          <w:rFonts w:ascii="Times New Roman" w:hAnsi="Times New Roman" w:cs="Times New Roman"/>
          <w:b/>
        </w:rPr>
        <w:t xml:space="preserve"> </w:t>
      </w:r>
      <w:r w:rsidR="007B2177">
        <w:rPr>
          <w:rFonts w:ascii="Times New Roman" w:hAnsi="Times New Roman" w:cs="Times New Roman"/>
          <w:b/>
        </w:rPr>
        <w:t>V</w:t>
      </w:r>
      <w:r w:rsidR="00172F5E" w:rsidRPr="00172F5E">
        <w:rPr>
          <w:rFonts w:ascii="Times New Roman" w:hAnsi="Times New Roman" w:cs="Times New Roman"/>
          <w:b/>
        </w:rPr>
        <w:t xml:space="preserve">ariables. </w:t>
      </w:r>
      <w:r w:rsidR="00172F5E" w:rsidRPr="00172F5E">
        <w:rPr>
          <w:rFonts w:ascii="Times New Roman" w:eastAsia="Calibri" w:hAnsi="Times New Roman" w:cs="Times New Roman"/>
          <w:bCs/>
          <w:lang w:val="en-US"/>
        </w:rPr>
        <w:t xml:space="preserve">To rule out the possibility that the study’s findings might be due to alternate explanations related to relevant differences among entrepreneurs and their companies, </w:t>
      </w:r>
      <w:r w:rsidR="00A94871">
        <w:rPr>
          <w:rFonts w:ascii="Times New Roman" w:eastAsia="Calibri" w:hAnsi="Times New Roman" w:cs="Times New Roman"/>
          <w:bCs/>
          <w:lang w:val="en-US"/>
        </w:rPr>
        <w:t>I</w:t>
      </w:r>
      <w:r w:rsidR="00172F5E" w:rsidRPr="00172F5E">
        <w:rPr>
          <w:rFonts w:ascii="Times New Roman" w:eastAsia="Calibri" w:hAnsi="Times New Roman" w:cs="Times New Roman"/>
          <w:bCs/>
          <w:lang w:val="en-US"/>
        </w:rPr>
        <w:t xml:space="preserve"> controlled for a series of individual- and firm-level characteristics. Considering that the circumstances of pivots might vary with the scope of </w:t>
      </w:r>
      <w:r w:rsidR="00A94871">
        <w:rPr>
          <w:rFonts w:ascii="Times New Roman" w:eastAsia="Calibri" w:hAnsi="Times New Roman" w:cs="Times New Roman"/>
          <w:bCs/>
          <w:lang w:val="en-US"/>
        </w:rPr>
        <w:t xml:space="preserve">my </w:t>
      </w:r>
      <w:r w:rsidR="00172F5E" w:rsidRPr="00172F5E">
        <w:rPr>
          <w:rFonts w:ascii="Times New Roman" w:eastAsia="Calibri" w:hAnsi="Times New Roman" w:cs="Times New Roman"/>
          <w:bCs/>
          <w:lang w:val="en-US"/>
        </w:rPr>
        <w:t xml:space="preserve">respondents’ firm (Cho &amp; Lee, 2020), </w:t>
      </w:r>
      <w:r w:rsidR="00A94871">
        <w:rPr>
          <w:rFonts w:ascii="Times New Roman" w:eastAsia="Calibri" w:hAnsi="Times New Roman" w:cs="Times New Roman"/>
          <w:bCs/>
          <w:lang w:val="en-US"/>
        </w:rPr>
        <w:t>I</w:t>
      </w:r>
      <w:r w:rsidR="00172F5E" w:rsidRPr="00172F5E">
        <w:rPr>
          <w:rFonts w:ascii="Times New Roman" w:eastAsia="Calibri" w:hAnsi="Times New Roman" w:cs="Times New Roman"/>
          <w:bCs/>
          <w:lang w:val="en-US"/>
        </w:rPr>
        <w:t xml:space="preserve"> controlled for </w:t>
      </w:r>
      <w:r w:rsidR="00172F5E" w:rsidRPr="00172F5E">
        <w:rPr>
          <w:rFonts w:ascii="Times New Roman" w:eastAsia="Calibri" w:hAnsi="Times New Roman" w:cs="Times New Roman"/>
          <w:bCs/>
          <w:i/>
          <w:iCs/>
          <w:lang w:val="en-US"/>
        </w:rPr>
        <w:t>firm size</w:t>
      </w:r>
      <w:r w:rsidR="00172F5E" w:rsidRPr="00172F5E">
        <w:rPr>
          <w:rFonts w:ascii="Times New Roman" w:eastAsia="Calibri" w:hAnsi="Times New Roman" w:cs="Times New Roman"/>
          <w:bCs/>
          <w:lang w:val="en-US"/>
        </w:rPr>
        <w:t xml:space="preserve"> (1 = fewer than 10 employees; 2 = 10–50; 3 = over 50) and </w:t>
      </w:r>
      <w:r w:rsidR="00172F5E" w:rsidRPr="00172F5E">
        <w:rPr>
          <w:rFonts w:ascii="Times New Roman" w:eastAsia="Calibri" w:hAnsi="Times New Roman" w:cs="Times New Roman"/>
          <w:bCs/>
          <w:i/>
          <w:iCs/>
          <w:lang w:val="en-US"/>
        </w:rPr>
        <w:t>firm revenue</w:t>
      </w:r>
      <w:r w:rsidR="00172F5E" w:rsidRPr="00172F5E">
        <w:rPr>
          <w:rFonts w:ascii="Times New Roman" w:eastAsia="Calibri" w:hAnsi="Times New Roman" w:cs="Times New Roman"/>
          <w:bCs/>
          <w:iCs/>
          <w:lang w:val="en-US"/>
        </w:rPr>
        <w:t xml:space="preserve"> (1 = below 1 million CAD; 2 = 1–10 million; 3 = over 10 million)</w:t>
      </w:r>
      <w:r w:rsidR="00172F5E" w:rsidRPr="00172F5E">
        <w:rPr>
          <w:rFonts w:ascii="Times New Roman" w:eastAsia="Calibri" w:hAnsi="Times New Roman" w:cs="Times New Roman"/>
          <w:bCs/>
          <w:lang w:val="en-US"/>
        </w:rPr>
        <w:t xml:space="preserve">. </w:t>
      </w:r>
      <w:r w:rsidR="004048F4" w:rsidRPr="004048F4">
        <w:rPr>
          <w:rFonts w:ascii="Times New Roman" w:eastAsia="Calibri" w:hAnsi="Times New Roman" w:cs="Times New Roman"/>
          <w:bCs/>
          <w:lang w:val="en-US"/>
        </w:rPr>
        <w:t xml:space="preserve">Because </w:t>
      </w:r>
      <w:r w:rsidR="004048F4">
        <w:rPr>
          <w:rFonts w:ascii="Times New Roman" w:eastAsia="Calibri" w:hAnsi="Times New Roman" w:cs="Times New Roman"/>
          <w:bCs/>
          <w:lang w:val="en-US"/>
        </w:rPr>
        <w:t>both variables</w:t>
      </w:r>
      <w:r w:rsidR="004048F4" w:rsidRPr="004048F4">
        <w:rPr>
          <w:rFonts w:ascii="Times New Roman" w:eastAsia="Calibri" w:hAnsi="Times New Roman" w:cs="Times New Roman"/>
          <w:bCs/>
          <w:lang w:val="en-US"/>
        </w:rPr>
        <w:t xml:space="preserve"> had three categories, </w:t>
      </w:r>
      <w:r w:rsidR="00A94871">
        <w:rPr>
          <w:rFonts w:ascii="Times New Roman" w:eastAsia="Calibri" w:hAnsi="Times New Roman" w:cs="Times New Roman"/>
          <w:bCs/>
          <w:lang w:val="en-US"/>
        </w:rPr>
        <w:t>I</w:t>
      </w:r>
      <w:r w:rsidR="004048F4" w:rsidRPr="004048F4">
        <w:rPr>
          <w:rFonts w:ascii="Times New Roman" w:eastAsia="Calibri" w:hAnsi="Times New Roman" w:cs="Times New Roman"/>
          <w:bCs/>
          <w:lang w:val="en-US"/>
        </w:rPr>
        <w:t xml:space="preserve"> included two</w:t>
      </w:r>
      <w:r w:rsidR="004048F4">
        <w:rPr>
          <w:rFonts w:ascii="Times New Roman" w:eastAsia="Calibri" w:hAnsi="Times New Roman" w:cs="Times New Roman"/>
          <w:bCs/>
          <w:lang w:val="en-US"/>
        </w:rPr>
        <w:t xml:space="preserve"> </w:t>
      </w:r>
      <w:r w:rsidR="004048F4" w:rsidRPr="004048F4">
        <w:rPr>
          <w:rFonts w:ascii="Times New Roman" w:eastAsia="Calibri" w:hAnsi="Times New Roman" w:cs="Times New Roman"/>
          <w:bCs/>
          <w:lang w:val="en-US"/>
        </w:rPr>
        <w:t xml:space="preserve">dummy variables for </w:t>
      </w:r>
      <w:r w:rsidR="004048F4">
        <w:rPr>
          <w:rFonts w:ascii="Times New Roman" w:eastAsia="Calibri" w:hAnsi="Times New Roman" w:cs="Times New Roman"/>
          <w:bCs/>
          <w:lang w:val="en-US"/>
        </w:rPr>
        <w:t>them</w:t>
      </w:r>
      <w:r w:rsidR="004048F4" w:rsidRPr="004048F4">
        <w:rPr>
          <w:rFonts w:ascii="Times New Roman" w:eastAsia="Calibri" w:hAnsi="Times New Roman" w:cs="Times New Roman"/>
          <w:bCs/>
          <w:lang w:val="en-US"/>
        </w:rPr>
        <w:t xml:space="preserve">: </w:t>
      </w:r>
      <w:r w:rsidR="004048F4" w:rsidRPr="00252665">
        <w:rPr>
          <w:rFonts w:ascii="Times New Roman" w:eastAsia="Calibri" w:hAnsi="Times New Roman" w:cs="Times New Roman"/>
          <w:bCs/>
          <w:i/>
          <w:iCs/>
          <w:lang w:val="en-US"/>
        </w:rPr>
        <w:t>small firm</w:t>
      </w:r>
      <w:r w:rsidR="004048F4" w:rsidRPr="004048F4">
        <w:rPr>
          <w:rFonts w:ascii="Times New Roman" w:eastAsia="Calibri" w:hAnsi="Times New Roman" w:cs="Times New Roman"/>
          <w:bCs/>
          <w:lang w:val="en-US"/>
        </w:rPr>
        <w:t xml:space="preserve"> and </w:t>
      </w:r>
      <w:r w:rsidR="004048F4" w:rsidRPr="00252665">
        <w:rPr>
          <w:rFonts w:ascii="Times New Roman" w:eastAsia="Calibri" w:hAnsi="Times New Roman" w:cs="Times New Roman"/>
          <w:bCs/>
          <w:i/>
          <w:iCs/>
          <w:lang w:val="en-US"/>
        </w:rPr>
        <w:t>large firm</w:t>
      </w:r>
      <w:r w:rsidR="004048F4" w:rsidRPr="004048F4">
        <w:rPr>
          <w:rFonts w:ascii="Times New Roman" w:eastAsia="Calibri" w:hAnsi="Times New Roman" w:cs="Times New Roman"/>
          <w:bCs/>
          <w:lang w:val="en-US"/>
        </w:rPr>
        <w:t xml:space="preserve">, with </w:t>
      </w:r>
      <w:r w:rsidR="00252665" w:rsidRPr="00252665">
        <w:rPr>
          <w:rFonts w:ascii="Times New Roman" w:eastAsia="Calibri" w:hAnsi="Times New Roman" w:cs="Times New Roman"/>
          <w:bCs/>
          <w:i/>
          <w:iCs/>
          <w:lang w:val="en-US"/>
        </w:rPr>
        <w:t>medium firm</w:t>
      </w:r>
      <w:r w:rsidR="004048F4">
        <w:rPr>
          <w:rFonts w:ascii="Times New Roman" w:eastAsia="Calibri" w:hAnsi="Times New Roman" w:cs="Times New Roman"/>
          <w:bCs/>
          <w:lang w:val="en-US"/>
        </w:rPr>
        <w:t xml:space="preserve"> </w:t>
      </w:r>
      <w:r w:rsidR="004048F4" w:rsidRPr="004048F4">
        <w:rPr>
          <w:rFonts w:ascii="Times New Roman" w:eastAsia="Calibri" w:hAnsi="Times New Roman" w:cs="Times New Roman"/>
          <w:bCs/>
          <w:lang w:val="en-US"/>
        </w:rPr>
        <w:t>serving as a comparison group</w:t>
      </w:r>
      <w:r w:rsidR="004048F4">
        <w:rPr>
          <w:rFonts w:ascii="Times New Roman" w:eastAsia="Calibri" w:hAnsi="Times New Roman" w:cs="Times New Roman"/>
          <w:bCs/>
          <w:lang w:val="en-US"/>
        </w:rPr>
        <w:t xml:space="preserve">, and </w:t>
      </w:r>
      <w:r w:rsidR="004048F4" w:rsidRPr="00252665">
        <w:rPr>
          <w:rFonts w:ascii="Times New Roman" w:eastAsia="Calibri" w:hAnsi="Times New Roman" w:cs="Times New Roman"/>
          <w:bCs/>
          <w:i/>
          <w:iCs/>
          <w:lang w:val="en-US"/>
        </w:rPr>
        <w:t>low revenue</w:t>
      </w:r>
      <w:r w:rsidR="004048F4">
        <w:rPr>
          <w:rFonts w:ascii="Times New Roman" w:eastAsia="Calibri" w:hAnsi="Times New Roman" w:cs="Times New Roman"/>
          <w:bCs/>
          <w:lang w:val="en-US"/>
        </w:rPr>
        <w:t xml:space="preserve"> and </w:t>
      </w:r>
      <w:r w:rsidR="004048F4" w:rsidRPr="00252665">
        <w:rPr>
          <w:rFonts w:ascii="Times New Roman" w:eastAsia="Calibri" w:hAnsi="Times New Roman" w:cs="Times New Roman"/>
          <w:bCs/>
          <w:i/>
          <w:iCs/>
          <w:lang w:val="en-US"/>
        </w:rPr>
        <w:t>high revenue</w:t>
      </w:r>
      <w:r w:rsidR="004048F4">
        <w:rPr>
          <w:rFonts w:ascii="Times New Roman" w:eastAsia="Calibri" w:hAnsi="Times New Roman" w:cs="Times New Roman"/>
          <w:bCs/>
          <w:lang w:val="en-US"/>
        </w:rPr>
        <w:t xml:space="preserve">, with </w:t>
      </w:r>
      <w:r w:rsidR="00252665" w:rsidRPr="00252665">
        <w:rPr>
          <w:rFonts w:ascii="Times New Roman" w:eastAsia="Calibri" w:hAnsi="Times New Roman" w:cs="Times New Roman"/>
          <w:bCs/>
          <w:i/>
          <w:lang w:val="en-US"/>
        </w:rPr>
        <w:t>medium revenue</w:t>
      </w:r>
      <w:r w:rsidR="004048F4">
        <w:rPr>
          <w:rFonts w:ascii="Times New Roman" w:eastAsia="Calibri" w:hAnsi="Times New Roman" w:cs="Times New Roman"/>
          <w:bCs/>
          <w:iCs/>
          <w:lang w:val="en-US"/>
        </w:rPr>
        <w:t xml:space="preserve"> </w:t>
      </w:r>
      <w:r w:rsidR="004048F4" w:rsidRPr="004048F4">
        <w:rPr>
          <w:rFonts w:ascii="Times New Roman" w:eastAsia="Calibri" w:hAnsi="Times New Roman" w:cs="Times New Roman"/>
          <w:bCs/>
          <w:lang w:val="en-US"/>
        </w:rPr>
        <w:t>serving as a comparison group.</w:t>
      </w:r>
      <w:r w:rsidR="004048F4">
        <w:rPr>
          <w:rFonts w:ascii="Times New Roman" w:eastAsia="Calibri" w:hAnsi="Times New Roman" w:cs="Times New Roman"/>
          <w:bCs/>
          <w:lang w:val="en-US"/>
        </w:rPr>
        <w:t xml:space="preserve"> </w:t>
      </w:r>
      <w:r w:rsidR="00172F5E" w:rsidRPr="00172F5E">
        <w:rPr>
          <w:rFonts w:ascii="Times New Roman" w:eastAsia="Calibri" w:hAnsi="Times New Roman" w:cs="Times New Roman"/>
          <w:bCs/>
          <w:lang w:val="en-US"/>
        </w:rPr>
        <w:t xml:space="preserve">To account for the possibility that some industries might have been more affected by the pandemic than others, </w:t>
      </w:r>
      <w:r w:rsidR="00A94871">
        <w:rPr>
          <w:rFonts w:ascii="Times New Roman" w:eastAsia="Calibri" w:hAnsi="Times New Roman" w:cs="Times New Roman"/>
          <w:lang w:val="en-US"/>
        </w:rPr>
        <w:t>I</w:t>
      </w:r>
      <w:r w:rsidR="00172F5E" w:rsidRPr="00172F5E">
        <w:rPr>
          <w:rFonts w:ascii="Times New Roman" w:eastAsia="Calibri" w:hAnsi="Times New Roman" w:cs="Times New Roman"/>
          <w:lang w:val="en-US"/>
        </w:rPr>
        <w:t xml:space="preserve"> controlled for industry-level variations in economic output (</w:t>
      </w:r>
      <w:r w:rsidR="00172F5E" w:rsidRPr="00172F5E">
        <w:rPr>
          <w:rFonts w:ascii="Times New Roman" w:eastAsia="Calibri" w:hAnsi="Times New Roman" w:cs="Times New Roman"/>
          <w:i/>
          <w:iCs/>
          <w:lang w:val="en-US"/>
        </w:rPr>
        <w:t>market variations</w:t>
      </w:r>
      <w:r w:rsidR="00172F5E" w:rsidRPr="00172F5E">
        <w:rPr>
          <w:rFonts w:ascii="Times New Roman" w:eastAsia="Calibri" w:hAnsi="Times New Roman" w:cs="Times New Roman"/>
          <w:lang w:val="en-US"/>
        </w:rPr>
        <w:t xml:space="preserve">) by using Statistics Canada’s seasonally adjusted gross domestic product (GDP) for 15 industry categories. Specifically, </w:t>
      </w:r>
      <w:r w:rsidR="00A94871">
        <w:rPr>
          <w:rFonts w:ascii="Times New Roman" w:eastAsia="Calibri" w:hAnsi="Times New Roman" w:cs="Times New Roman"/>
          <w:lang w:val="en-US"/>
        </w:rPr>
        <w:t>I</w:t>
      </w:r>
      <w:r w:rsidR="00172F5E" w:rsidRPr="00172F5E">
        <w:rPr>
          <w:rFonts w:ascii="Times New Roman" w:eastAsia="Calibri" w:hAnsi="Times New Roman" w:cs="Times New Roman"/>
          <w:lang w:val="en-US"/>
        </w:rPr>
        <w:t xml:space="preserve"> divided each industry category’s GDP for April 2020 (first month of data collection) by the same measure for February 2020 (just before the pandemic). As reported in Table 1, the largest decline took place in the Accommodation and Food Services industry, with April GDP representing just over 35% of the economic value generated in February. In contrast, the impact on industries such as Agriculture, Forestry, Fishing and Hunting (100%), Finance and Insurance (100%), and Information and Communication Technology (97%) seems to have been marginal, at least during the first few months of the pandemic. Market or task environments can determine the need for, and the costs of, experimentation as well as the number of strategic changes that can be implemented in firms (Thomke, 2020).</w:t>
      </w:r>
    </w:p>
    <w:p w14:paraId="07132ABC" w14:textId="5E42E4D3" w:rsidR="00172F5E" w:rsidRPr="00172F5E" w:rsidRDefault="00172F5E" w:rsidP="00172F5E">
      <w:pPr>
        <w:widowControl w:val="0"/>
        <w:spacing w:line="480" w:lineRule="auto"/>
        <w:ind w:firstLine="360"/>
        <w:rPr>
          <w:rFonts w:ascii="Times New Roman" w:eastAsia="Calibri" w:hAnsi="Times New Roman" w:cs="Times New Roman"/>
          <w:lang w:val="en-US"/>
        </w:rPr>
      </w:pPr>
      <w:r w:rsidRPr="00172F5E">
        <w:rPr>
          <w:rFonts w:ascii="Times New Roman" w:eastAsia="Calibri" w:hAnsi="Times New Roman" w:cs="Times New Roman"/>
          <w:lang w:val="en-US"/>
        </w:rPr>
        <w:lastRenderedPageBreak/>
        <w:tab/>
        <w:t xml:space="preserve">Turning to respondents’ individual characteristics, </w:t>
      </w:r>
      <w:r w:rsidR="00A94871">
        <w:rPr>
          <w:rFonts w:ascii="Times New Roman" w:eastAsia="Calibri" w:hAnsi="Times New Roman" w:cs="Times New Roman"/>
          <w:lang w:val="en-US"/>
        </w:rPr>
        <w:t xml:space="preserve">I </w:t>
      </w:r>
      <w:r w:rsidRPr="00172F5E">
        <w:rPr>
          <w:rFonts w:ascii="Times New Roman" w:eastAsia="Calibri" w:hAnsi="Times New Roman" w:cs="Times New Roman"/>
          <w:lang w:val="en-US"/>
        </w:rPr>
        <w:t xml:space="preserve">controlled for entrepreneurs’ </w:t>
      </w:r>
      <w:r w:rsidRPr="00172F5E">
        <w:rPr>
          <w:rFonts w:ascii="Times New Roman" w:eastAsia="Calibri" w:hAnsi="Times New Roman" w:cs="Times New Roman"/>
          <w:i/>
          <w:iCs/>
          <w:lang w:val="en-US"/>
        </w:rPr>
        <w:t>age group</w:t>
      </w:r>
      <w:r w:rsidRPr="00172F5E">
        <w:rPr>
          <w:rFonts w:ascii="Times New Roman" w:eastAsia="Calibri" w:hAnsi="Times New Roman" w:cs="Times New Roman"/>
          <w:lang w:val="en-US"/>
        </w:rPr>
        <w:t xml:space="preserve"> (seven-point scale ranging from “18–24” to “50 and over”) and </w:t>
      </w:r>
      <w:r w:rsidRPr="00172F5E">
        <w:rPr>
          <w:rFonts w:ascii="Times New Roman" w:eastAsia="Calibri" w:hAnsi="Times New Roman" w:cs="Times New Roman"/>
          <w:i/>
          <w:iCs/>
          <w:lang w:val="en-US"/>
        </w:rPr>
        <w:t>gender</w:t>
      </w:r>
      <w:r w:rsidRPr="00172F5E">
        <w:rPr>
          <w:rFonts w:ascii="Times New Roman" w:eastAsia="Calibri" w:hAnsi="Times New Roman" w:cs="Times New Roman"/>
          <w:iCs/>
          <w:lang w:val="en-US"/>
        </w:rPr>
        <w:t xml:space="preserve"> (-1 = male; +1 = female)</w:t>
      </w:r>
      <w:r w:rsidRPr="00172F5E">
        <w:rPr>
          <w:rFonts w:ascii="Times New Roman" w:eastAsia="Calibri" w:hAnsi="Times New Roman" w:cs="Times New Roman"/>
          <w:lang w:val="en-US"/>
        </w:rPr>
        <w:t xml:space="preserve">. This allowed </w:t>
      </w:r>
      <w:r w:rsidR="004C79ED">
        <w:rPr>
          <w:rFonts w:ascii="Times New Roman" w:eastAsia="Calibri" w:hAnsi="Times New Roman" w:cs="Times New Roman"/>
          <w:lang w:val="en-US"/>
        </w:rPr>
        <w:t>me</w:t>
      </w:r>
      <w:r w:rsidRPr="00172F5E">
        <w:rPr>
          <w:rFonts w:ascii="Times New Roman" w:eastAsia="Calibri" w:hAnsi="Times New Roman" w:cs="Times New Roman"/>
          <w:lang w:val="en-US"/>
        </w:rPr>
        <w:t xml:space="preserve"> to control for the possibility that older entrepreneurs might benefit from the learnings they had accumulated from prior experience in their efforts to pivot (Gielnik et al., 2018), and to account for gender-based differences, not only in the manner in which entrepreneurs engage in certain activities (</w:t>
      </w:r>
      <w:r w:rsidRPr="00172F5E">
        <w:rPr>
          <w:rFonts w:ascii="Times New Roman" w:hAnsi="Times New Roman" w:cs="Times New Roman"/>
        </w:rPr>
        <w:t>e.g., managing stakeholder relationships and soliciting investor capital</w:t>
      </w:r>
      <w:r w:rsidRPr="00172F5E">
        <w:rPr>
          <w:rFonts w:ascii="Times New Roman" w:eastAsia="Calibri" w:hAnsi="Times New Roman" w:cs="Times New Roman"/>
          <w:lang w:val="en-US"/>
        </w:rPr>
        <w:t xml:space="preserve">) but also in the challenges that they face (e.g., Kanze et al., 2018). Apart from gender, </w:t>
      </w:r>
      <w:r w:rsidR="00A94871">
        <w:rPr>
          <w:rFonts w:ascii="Times New Roman" w:eastAsia="Calibri" w:hAnsi="Times New Roman" w:cs="Times New Roman"/>
          <w:lang w:val="en-US"/>
        </w:rPr>
        <w:t xml:space="preserve">I </w:t>
      </w:r>
      <w:r w:rsidRPr="00172F5E">
        <w:rPr>
          <w:rFonts w:ascii="Times New Roman" w:eastAsia="Calibri" w:hAnsi="Times New Roman" w:cs="Times New Roman"/>
          <w:lang w:val="en-US"/>
        </w:rPr>
        <w:t xml:space="preserve">treated all control variables as continuous, and mean-centered them prior to </w:t>
      </w:r>
      <w:r w:rsidR="00A94871">
        <w:rPr>
          <w:rFonts w:ascii="Times New Roman" w:eastAsia="Calibri" w:hAnsi="Times New Roman" w:cs="Times New Roman"/>
          <w:lang w:val="en-US"/>
        </w:rPr>
        <w:t xml:space="preserve">my </w:t>
      </w:r>
      <w:r w:rsidRPr="00172F5E">
        <w:rPr>
          <w:rFonts w:ascii="Times New Roman" w:eastAsia="Calibri" w:hAnsi="Times New Roman" w:cs="Times New Roman"/>
          <w:lang w:val="en-US"/>
        </w:rPr>
        <w:t xml:space="preserve">analyses. Table 2 reports the descriptive statistics for the full set of variables in </w:t>
      </w:r>
      <w:r w:rsidR="00A94871">
        <w:rPr>
          <w:rFonts w:ascii="Times New Roman" w:eastAsia="Calibri" w:hAnsi="Times New Roman" w:cs="Times New Roman"/>
          <w:lang w:val="en-US"/>
        </w:rPr>
        <w:t xml:space="preserve">my </w:t>
      </w:r>
      <w:r w:rsidRPr="00172F5E">
        <w:rPr>
          <w:rFonts w:ascii="Times New Roman" w:eastAsia="Calibri" w:hAnsi="Times New Roman" w:cs="Times New Roman"/>
          <w:lang w:val="en-US"/>
        </w:rPr>
        <w:t>study.</w:t>
      </w:r>
    </w:p>
    <w:p w14:paraId="14F1D1AE" w14:textId="0D4B665D" w:rsidR="00172F5E" w:rsidRPr="00252665" w:rsidRDefault="00172F5E" w:rsidP="00252665">
      <w:pPr>
        <w:widowControl w:val="0"/>
        <w:spacing w:line="480" w:lineRule="auto"/>
        <w:ind w:firstLine="360"/>
        <w:rPr>
          <w:rFonts w:ascii="Times New Roman" w:eastAsia="Malgun Gothic" w:hAnsi="Times New Roman" w:cs="Times New Roman"/>
        </w:rPr>
      </w:pPr>
      <w:r w:rsidRPr="00172F5E">
        <w:rPr>
          <w:rFonts w:ascii="Times New Roman" w:eastAsia="Calibri" w:hAnsi="Times New Roman" w:cs="Times New Roman"/>
          <w:lang w:val="en-US"/>
        </w:rPr>
        <w:tab/>
        <w:t xml:space="preserve">Finally, </w:t>
      </w:r>
      <w:r w:rsidR="00A94871">
        <w:rPr>
          <w:rFonts w:ascii="Times New Roman" w:eastAsia="Calibri" w:hAnsi="Times New Roman" w:cs="Times New Roman"/>
          <w:lang w:val="en-US"/>
        </w:rPr>
        <w:t xml:space="preserve">I </w:t>
      </w:r>
      <w:r w:rsidRPr="00172F5E">
        <w:rPr>
          <w:rFonts w:ascii="Times New Roman" w:eastAsia="Calibri" w:hAnsi="Times New Roman" w:cs="Times New Roman"/>
          <w:lang w:val="en-US"/>
        </w:rPr>
        <w:t>controlled for the entrepreneurs’ firm performance and their trait optimism</w:t>
      </w:r>
      <w:r w:rsidRPr="00172F5E">
        <w:rPr>
          <w:rFonts w:ascii="Times New Roman" w:eastAsia="Malgun Gothic" w:hAnsi="Times New Roman" w:cs="Times New Roman"/>
          <w:lang w:val="en-US"/>
        </w:rPr>
        <w:t xml:space="preserve"> because outcome expectations are key motivational foundations that influence personal agency (Bandura, 1977). Research has shown that past performances can influence the levels of goals that are selected and the efforts put in goal striving (Vancouver et al., 2001, 2008), and o</w:t>
      </w:r>
      <w:r w:rsidRPr="00172F5E">
        <w:rPr>
          <w:rFonts w:ascii="Times New Roman" w:eastAsia="Malgun Gothic" w:hAnsi="Times New Roman" w:cs="Times New Roman"/>
        </w:rPr>
        <w:t xml:space="preserve">ptimistic entrepreneurs are more likely to implement strategic changes when facing exogenous shocks (Amore et al., 2022). </w:t>
      </w:r>
      <w:r w:rsidR="00A94871">
        <w:rPr>
          <w:rFonts w:ascii="Times New Roman" w:eastAsia="Malgun Gothic" w:hAnsi="Times New Roman" w:cs="Times New Roman"/>
        </w:rPr>
        <w:t xml:space="preserve">I </w:t>
      </w:r>
      <w:r w:rsidRPr="00172F5E">
        <w:rPr>
          <w:rFonts w:ascii="Times New Roman" w:eastAsia="Malgun Gothic" w:hAnsi="Times New Roman" w:cs="Times New Roman"/>
        </w:rPr>
        <w:t xml:space="preserve">asked </w:t>
      </w:r>
      <w:r w:rsidR="00A94871">
        <w:rPr>
          <w:rFonts w:ascii="Times New Roman" w:eastAsia="Malgun Gothic" w:hAnsi="Times New Roman" w:cs="Times New Roman"/>
        </w:rPr>
        <w:t xml:space="preserve">my </w:t>
      </w:r>
      <w:r w:rsidRPr="00172F5E">
        <w:rPr>
          <w:rFonts w:ascii="Times New Roman" w:eastAsia="Malgun Gothic" w:hAnsi="Times New Roman" w:cs="Times New Roman"/>
        </w:rPr>
        <w:t xml:space="preserve">respondents if their firm was in a phase of “decline,” “stability,” or “growth,” which </w:t>
      </w:r>
      <w:r w:rsidR="00A94871">
        <w:rPr>
          <w:rFonts w:ascii="Times New Roman" w:eastAsia="Malgun Gothic" w:hAnsi="Times New Roman" w:cs="Times New Roman"/>
        </w:rPr>
        <w:t xml:space="preserve">I </w:t>
      </w:r>
      <w:r w:rsidRPr="00172F5E">
        <w:rPr>
          <w:rFonts w:ascii="Times New Roman" w:eastAsia="Malgun Gothic" w:hAnsi="Times New Roman" w:cs="Times New Roman"/>
        </w:rPr>
        <w:t xml:space="preserve">coded from 1 to 3. </w:t>
      </w:r>
      <w:r w:rsidR="00252665" w:rsidRPr="004048F4">
        <w:rPr>
          <w:rFonts w:ascii="Times New Roman" w:eastAsia="Calibri" w:hAnsi="Times New Roman" w:cs="Times New Roman"/>
          <w:bCs/>
          <w:lang w:val="en-US"/>
        </w:rPr>
        <w:t xml:space="preserve">Because </w:t>
      </w:r>
      <w:r w:rsidR="00252665">
        <w:rPr>
          <w:rFonts w:ascii="Times New Roman" w:eastAsia="Calibri" w:hAnsi="Times New Roman" w:cs="Times New Roman"/>
          <w:bCs/>
          <w:lang w:val="en-US"/>
        </w:rPr>
        <w:t>this variable</w:t>
      </w:r>
      <w:r w:rsidR="00252665" w:rsidRPr="004048F4">
        <w:rPr>
          <w:rFonts w:ascii="Times New Roman" w:eastAsia="Calibri" w:hAnsi="Times New Roman" w:cs="Times New Roman"/>
          <w:bCs/>
          <w:lang w:val="en-US"/>
        </w:rPr>
        <w:t xml:space="preserve"> had three categories, </w:t>
      </w:r>
      <w:r w:rsidR="00A94871">
        <w:rPr>
          <w:rFonts w:ascii="Times New Roman" w:eastAsia="Calibri" w:hAnsi="Times New Roman" w:cs="Times New Roman"/>
          <w:bCs/>
          <w:lang w:val="en-US"/>
        </w:rPr>
        <w:t xml:space="preserve">I </w:t>
      </w:r>
      <w:r w:rsidR="00252665" w:rsidRPr="004048F4">
        <w:rPr>
          <w:rFonts w:ascii="Times New Roman" w:eastAsia="Calibri" w:hAnsi="Times New Roman" w:cs="Times New Roman"/>
          <w:bCs/>
          <w:lang w:val="en-US"/>
        </w:rPr>
        <w:t>included</w:t>
      </w:r>
      <w:r w:rsidR="00252665">
        <w:rPr>
          <w:rFonts w:ascii="Times New Roman" w:eastAsia="Calibri" w:hAnsi="Times New Roman" w:cs="Times New Roman"/>
          <w:bCs/>
          <w:lang w:val="en-US"/>
        </w:rPr>
        <w:t xml:space="preserve"> </w:t>
      </w:r>
      <w:r w:rsidR="00252665" w:rsidRPr="004048F4">
        <w:rPr>
          <w:rFonts w:ascii="Times New Roman" w:eastAsia="Calibri" w:hAnsi="Times New Roman" w:cs="Times New Roman"/>
          <w:bCs/>
          <w:lang w:val="en-US"/>
        </w:rPr>
        <w:t>dummy variable</w:t>
      </w:r>
      <w:r w:rsidR="004C79ED">
        <w:rPr>
          <w:rFonts w:ascii="Times New Roman" w:eastAsia="Calibri" w:hAnsi="Times New Roman" w:cs="Times New Roman"/>
          <w:bCs/>
          <w:lang w:val="en-US"/>
        </w:rPr>
        <w:t>s</w:t>
      </w:r>
      <w:r w:rsidR="00252665" w:rsidRPr="004048F4">
        <w:rPr>
          <w:rFonts w:ascii="Times New Roman" w:eastAsia="Calibri" w:hAnsi="Times New Roman" w:cs="Times New Roman"/>
          <w:bCs/>
          <w:lang w:val="en-US"/>
        </w:rPr>
        <w:t xml:space="preserve">: </w:t>
      </w:r>
      <w:r w:rsidR="00252665" w:rsidRPr="00252665">
        <w:rPr>
          <w:rFonts w:ascii="Times New Roman" w:eastAsia="Calibri" w:hAnsi="Times New Roman" w:cs="Times New Roman"/>
          <w:bCs/>
          <w:i/>
          <w:iCs/>
          <w:lang w:val="en-US"/>
        </w:rPr>
        <w:t>decline</w:t>
      </w:r>
      <w:r w:rsidR="00252665" w:rsidRPr="004048F4">
        <w:rPr>
          <w:rFonts w:ascii="Times New Roman" w:eastAsia="Calibri" w:hAnsi="Times New Roman" w:cs="Times New Roman"/>
          <w:bCs/>
          <w:lang w:val="en-US"/>
        </w:rPr>
        <w:t xml:space="preserve"> and </w:t>
      </w:r>
      <w:r w:rsidR="00252665" w:rsidRPr="00252665">
        <w:rPr>
          <w:rFonts w:ascii="Times New Roman" w:eastAsia="Calibri" w:hAnsi="Times New Roman" w:cs="Times New Roman"/>
          <w:bCs/>
          <w:i/>
          <w:iCs/>
          <w:lang w:val="en-US"/>
        </w:rPr>
        <w:t>growth</w:t>
      </w:r>
      <w:r w:rsidR="00252665" w:rsidRPr="004048F4">
        <w:rPr>
          <w:rFonts w:ascii="Times New Roman" w:eastAsia="Calibri" w:hAnsi="Times New Roman" w:cs="Times New Roman"/>
          <w:bCs/>
          <w:lang w:val="en-US"/>
        </w:rPr>
        <w:t xml:space="preserve">, with </w:t>
      </w:r>
      <w:r w:rsidR="00252665">
        <w:rPr>
          <w:rFonts w:ascii="Times New Roman" w:eastAsia="Calibri" w:hAnsi="Times New Roman" w:cs="Times New Roman"/>
          <w:bCs/>
          <w:i/>
          <w:iCs/>
          <w:lang w:val="en-US"/>
        </w:rPr>
        <w:t>stable</w:t>
      </w:r>
      <w:r w:rsidR="00252665">
        <w:rPr>
          <w:rFonts w:ascii="Times New Roman" w:eastAsia="Calibri" w:hAnsi="Times New Roman" w:cs="Times New Roman"/>
          <w:bCs/>
          <w:lang w:val="en-US"/>
        </w:rPr>
        <w:t xml:space="preserve"> </w:t>
      </w:r>
      <w:r w:rsidR="00252665" w:rsidRPr="004048F4">
        <w:rPr>
          <w:rFonts w:ascii="Times New Roman" w:eastAsia="Calibri" w:hAnsi="Times New Roman" w:cs="Times New Roman"/>
          <w:bCs/>
          <w:lang w:val="en-US"/>
        </w:rPr>
        <w:t>serving as a comparison group.</w:t>
      </w:r>
      <w:r w:rsidR="00252665">
        <w:rPr>
          <w:rFonts w:ascii="Times New Roman" w:eastAsia="Malgun Gothic" w:hAnsi="Times New Roman" w:cs="Times New Roman"/>
        </w:rPr>
        <w:t xml:space="preserve"> </w:t>
      </w:r>
      <w:r w:rsidR="00A94871">
        <w:rPr>
          <w:rFonts w:ascii="Times New Roman" w:hAnsi="Times New Roman" w:cs="Times New Roman"/>
          <w:bCs/>
        </w:rPr>
        <w:t xml:space="preserve">I </w:t>
      </w:r>
      <w:r w:rsidR="00252665">
        <w:rPr>
          <w:rFonts w:ascii="Times New Roman" w:hAnsi="Times New Roman" w:cs="Times New Roman"/>
          <w:bCs/>
        </w:rPr>
        <w:t xml:space="preserve">also </w:t>
      </w:r>
      <w:r w:rsidRPr="00172F5E">
        <w:rPr>
          <w:rFonts w:ascii="Times New Roman" w:hAnsi="Times New Roman" w:cs="Times New Roman"/>
          <w:bCs/>
        </w:rPr>
        <w:t xml:space="preserve">measured entrepreneurs’ optimism using the five-point Likert scale (from “strongly disagree” to “strongly agree”) from Scheier et al. (1994). The instrument included the following </w:t>
      </w:r>
      <w:r w:rsidR="00A94871">
        <w:rPr>
          <w:rFonts w:ascii="Times New Roman" w:hAnsi="Times New Roman" w:cs="Times New Roman"/>
          <w:bCs/>
        </w:rPr>
        <w:t>sample</w:t>
      </w:r>
      <w:r w:rsidRPr="00172F5E">
        <w:rPr>
          <w:rFonts w:ascii="Times New Roman" w:hAnsi="Times New Roman" w:cs="Times New Roman"/>
          <w:bCs/>
        </w:rPr>
        <w:t xml:space="preserve"> items: “In uncertain times, I usually expect the best,” </w:t>
      </w:r>
      <w:r w:rsidR="00A94871">
        <w:rPr>
          <w:rFonts w:ascii="Times New Roman" w:hAnsi="Times New Roman" w:cs="Times New Roman"/>
          <w:bCs/>
        </w:rPr>
        <w:t xml:space="preserve">and </w:t>
      </w:r>
      <w:r w:rsidRPr="00172F5E">
        <w:rPr>
          <w:rFonts w:ascii="Times New Roman" w:hAnsi="Times New Roman" w:cs="Times New Roman"/>
          <w:bCs/>
        </w:rPr>
        <w:t>“If something can go wrong for me, it will</w:t>
      </w:r>
      <w:r w:rsidR="00A94871">
        <w:rPr>
          <w:rFonts w:ascii="Times New Roman" w:hAnsi="Times New Roman" w:cs="Times New Roman"/>
          <w:bCs/>
        </w:rPr>
        <w:t>.</w:t>
      </w:r>
      <w:r w:rsidRPr="00172F5E">
        <w:rPr>
          <w:rFonts w:ascii="Times New Roman" w:hAnsi="Times New Roman" w:cs="Times New Roman"/>
          <w:bCs/>
        </w:rPr>
        <w:t xml:space="preserve">” Three items were reverse-scored, and the Cronbach’s </w:t>
      </w:r>
      <w:r w:rsidRPr="00086D9C">
        <w:rPr>
          <w:rFonts w:ascii="Times New Roman" w:hAnsi="Times New Roman" w:cs="Times New Roman"/>
          <w:bCs/>
        </w:rPr>
        <w:t>alpha was .70, supporting the measures’ reliability.</w:t>
      </w:r>
    </w:p>
    <w:p w14:paraId="3F485B23" w14:textId="0E6A70E9" w:rsidR="00086D9C" w:rsidRDefault="00086D9C" w:rsidP="00D65F76">
      <w:pPr>
        <w:widowControl w:val="0"/>
        <w:spacing w:line="480" w:lineRule="auto"/>
        <w:ind w:firstLine="720"/>
        <w:rPr>
          <w:rFonts w:ascii="Times New Roman" w:eastAsia="Calibri" w:hAnsi="Times New Roman" w:cs="Times New Roman"/>
          <w:bCs/>
          <w:lang w:val="en-US"/>
        </w:rPr>
      </w:pPr>
      <w:r w:rsidRPr="00086D9C">
        <w:rPr>
          <w:rFonts w:ascii="Times New Roman" w:hAnsi="Times New Roman" w:cs="Times New Roman"/>
          <w:b/>
        </w:rPr>
        <w:t>Study 1 Response Bias</w:t>
      </w:r>
      <w:r w:rsidR="00D65F76">
        <w:rPr>
          <w:rFonts w:ascii="Times New Roman" w:hAnsi="Times New Roman" w:cs="Times New Roman"/>
          <w:b/>
        </w:rPr>
        <w:t xml:space="preserve"> and Common Method Variance</w:t>
      </w:r>
      <w:r w:rsidRPr="00086D9C">
        <w:rPr>
          <w:rFonts w:ascii="Times New Roman" w:hAnsi="Times New Roman" w:cs="Times New Roman"/>
          <w:b/>
        </w:rPr>
        <w:t>.</w:t>
      </w:r>
      <w:r w:rsidRPr="00086D9C">
        <w:rPr>
          <w:rFonts w:ascii="Times New Roman" w:hAnsi="Times New Roman" w:cs="Times New Roman"/>
          <w:bCs/>
        </w:rPr>
        <w:t xml:space="preserve"> </w:t>
      </w:r>
      <w:r w:rsidR="00A94871">
        <w:rPr>
          <w:rFonts w:ascii="Times New Roman" w:eastAsia="Times New Roman" w:hAnsi="Times New Roman" w:cs="Times New Roman"/>
          <w:kern w:val="0"/>
          <w14:ligatures w14:val="none"/>
        </w:rPr>
        <w:t xml:space="preserve">I </w:t>
      </w:r>
      <w:r w:rsidR="00565A3E" w:rsidRPr="00D65F76">
        <w:rPr>
          <w:rFonts w:ascii="Times New Roman" w:eastAsia="Times New Roman" w:hAnsi="Times New Roman" w:cs="Times New Roman"/>
          <w:bCs/>
          <w:kern w:val="0"/>
          <w14:ligatures w14:val="none"/>
        </w:rPr>
        <w:t xml:space="preserve">tested for possible response </w:t>
      </w:r>
      <w:r w:rsidR="00565A3E" w:rsidRPr="00D65F76">
        <w:rPr>
          <w:rFonts w:ascii="Times New Roman" w:eastAsia="Times New Roman" w:hAnsi="Times New Roman" w:cs="Times New Roman"/>
          <w:bCs/>
          <w:kern w:val="0"/>
          <w14:ligatures w14:val="none"/>
        </w:rPr>
        <w:lastRenderedPageBreak/>
        <w:t xml:space="preserve">bias in </w:t>
      </w:r>
      <w:r w:rsidR="00A94871">
        <w:rPr>
          <w:rFonts w:ascii="Times New Roman" w:eastAsia="Times New Roman" w:hAnsi="Times New Roman" w:cs="Times New Roman"/>
          <w:bCs/>
          <w:kern w:val="0"/>
          <w14:ligatures w14:val="none"/>
        </w:rPr>
        <w:t xml:space="preserve">my </w:t>
      </w:r>
      <w:r w:rsidR="00565A3E" w:rsidRPr="00D65F76">
        <w:rPr>
          <w:rFonts w:ascii="Times New Roman" w:eastAsia="Times New Roman" w:hAnsi="Times New Roman" w:cs="Times New Roman"/>
          <w:bCs/>
          <w:kern w:val="0"/>
          <w14:ligatures w14:val="none"/>
        </w:rPr>
        <w:t xml:space="preserve">data by running a series of analyses comparing the participants in </w:t>
      </w:r>
      <w:r w:rsidR="00A94871">
        <w:rPr>
          <w:rFonts w:ascii="Times New Roman" w:eastAsia="Times New Roman" w:hAnsi="Times New Roman" w:cs="Times New Roman"/>
          <w:bCs/>
          <w:kern w:val="0"/>
          <w14:ligatures w14:val="none"/>
        </w:rPr>
        <w:t xml:space="preserve">my </w:t>
      </w:r>
      <w:r w:rsidR="00565A3E" w:rsidRPr="00D65F76">
        <w:rPr>
          <w:rFonts w:ascii="Times New Roman" w:eastAsia="Times New Roman" w:hAnsi="Times New Roman" w:cs="Times New Roman"/>
          <w:bCs/>
          <w:kern w:val="0"/>
          <w14:ligatures w14:val="none"/>
        </w:rPr>
        <w:t xml:space="preserve">model with those who had dropped out by running several ANOVAs to compare entrepreneurs’ responses on focal variables: </w:t>
      </w:r>
      <w:r w:rsidR="00565A3E" w:rsidRPr="00D65F76">
        <w:rPr>
          <w:rFonts w:ascii="Times New Roman" w:eastAsia="Times New Roman" w:hAnsi="Times New Roman" w:cs="Times New Roman"/>
          <w:bCs/>
          <w:i/>
          <w:kern w:val="0"/>
          <w14:ligatures w14:val="none"/>
        </w:rPr>
        <w:t>BM adaptation</w:t>
      </w:r>
      <w:r w:rsidR="00565A3E" w:rsidRPr="00D65F76">
        <w:rPr>
          <w:rFonts w:ascii="Times New Roman" w:eastAsia="Times New Roman" w:hAnsi="Times New Roman" w:cs="Times New Roman"/>
          <w:bCs/>
          <w:iCs/>
          <w:kern w:val="0"/>
          <w14:ligatures w14:val="none"/>
        </w:rPr>
        <w:t>,</w:t>
      </w:r>
      <w:r w:rsidR="00565A3E" w:rsidRPr="00D65F76">
        <w:rPr>
          <w:rFonts w:ascii="Times New Roman" w:eastAsia="Times New Roman" w:hAnsi="Times New Roman" w:cs="Times New Roman"/>
          <w:bCs/>
          <w:kern w:val="0"/>
          <w14:ligatures w14:val="none"/>
        </w:rPr>
        <w:t xml:space="preserve"> collected at T</w:t>
      </w:r>
      <w:r w:rsidR="00565A3E" w:rsidRPr="004C79ED">
        <w:rPr>
          <w:rFonts w:ascii="Times New Roman" w:eastAsia="Times New Roman" w:hAnsi="Times New Roman" w:cs="Times New Roman"/>
          <w:bCs/>
          <w:kern w:val="0"/>
          <w:vertAlign w:val="subscript"/>
          <w14:ligatures w14:val="none"/>
        </w:rPr>
        <w:t>1</w:t>
      </w:r>
      <w:r w:rsidR="00565A3E" w:rsidRPr="00D65F76">
        <w:rPr>
          <w:rFonts w:ascii="Times New Roman" w:eastAsia="Times New Roman" w:hAnsi="Times New Roman" w:cs="Times New Roman"/>
          <w:bCs/>
          <w:kern w:val="0"/>
          <w14:ligatures w14:val="none"/>
        </w:rPr>
        <w:t xml:space="preserve"> and T</w:t>
      </w:r>
      <w:r w:rsidR="00565A3E" w:rsidRPr="004C79ED">
        <w:rPr>
          <w:rFonts w:ascii="Times New Roman" w:eastAsia="Times New Roman" w:hAnsi="Times New Roman" w:cs="Times New Roman"/>
          <w:bCs/>
          <w:kern w:val="0"/>
          <w:vertAlign w:val="subscript"/>
          <w14:ligatures w14:val="none"/>
        </w:rPr>
        <w:t>5</w:t>
      </w:r>
      <w:r w:rsidR="00565A3E" w:rsidRPr="00D65F76">
        <w:rPr>
          <w:rFonts w:ascii="Times New Roman" w:eastAsia="Times New Roman" w:hAnsi="Times New Roman" w:cs="Times New Roman"/>
          <w:bCs/>
          <w:kern w:val="0"/>
          <w14:ligatures w14:val="none"/>
        </w:rPr>
        <w:t xml:space="preserve">, and </w:t>
      </w:r>
      <w:r w:rsidR="00565A3E" w:rsidRPr="00D65F76">
        <w:rPr>
          <w:rFonts w:ascii="Times New Roman" w:eastAsia="Times New Roman" w:hAnsi="Times New Roman" w:cs="Times New Roman"/>
          <w:bCs/>
          <w:i/>
          <w:kern w:val="0"/>
          <w14:ligatures w14:val="none"/>
        </w:rPr>
        <w:t>experimentation</w:t>
      </w:r>
      <w:r w:rsidR="00565A3E" w:rsidRPr="00D65F76">
        <w:rPr>
          <w:rFonts w:ascii="Times New Roman" w:eastAsia="Times New Roman" w:hAnsi="Times New Roman" w:cs="Times New Roman"/>
          <w:bCs/>
          <w:kern w:val="0"/>
          <w14:ligatures w14:val="none"/>
        </w:rPr>
        <w:t xml:space="preserve"> at T</w:t>
      </w:r>
      <w:r w:rsidR="00565A3E" w:rsidRPr="004C79ED">
        <w:rPr>
          <w:rFonts w:ascii="Times New Roman" w:eastAsia="Times New Roman" w:hAnsi="Times New Roman" w:cs="Times New Roman"/>
          <w:bCs/>
          <w:kern w:val="0"/>
          <w:vertAlign w:val="subscript"/>
          <w14:ligatures w14:val="none"/>
        </w:rPr>
        <w:t>2</w:t>
      </w:r>
      <w:r w:rsidR="00565A3E" w:rsidRPr="00D65F76">
        <w:rPr>
          <w:rFonts w:ascii="Times New Roman" w:eastAsia="Times New Roman" w:hAnsi="Times New Roman" w:cs="Times New Roman"/>
          <w:bCs/>
          <w:kern w:val="0"/>
          <w14:ligatures w14:val="none"/>
        </w:rPr>
        <w:t xml:space="preserve"> and T</w:t>
      </w:r>
      <w:r w:rsidR="00565A3E" w:rsidRPr="004C79ED">
        <w:rPr>
          <w:rFonts w:ascii="Times New Roman" w:eastAsia="Times New Roman" w:hAnsi="Times New Roman" w:cs="Times New Roman"/>
          <w:bCs/>
          <w:kern w:val="0"/>
          <w:vertAlign w:val="subscript"/>
          <w14:ligatures w14:val="none"/>
        </w:rPr>
        <w:t>4</w:t>
      </w:r>
      <w:r w:rsidR="00565A3E" w:rsidRPr="00D65F76">
        <w:rPr>
          <w:rFonts w:ascii="Times New Roman" w:eastAsia="Times New Roman" w:hAnsi="Times New Roman" w:cs="Times New Roman"/>
          <w:bCs/>
          <w:kern w:val="0"/>
          <w14:ligatures w14:val="none"/>
        </w:rPr>
        <w:t xml:space="preserve">. The results suggested no significant mean differences for </w:t>
      </w:r>
      <w:r w:rsidR="00565A3E" w:rsidRPr="00D65F76">
        <w:rPr>
          <w:rFonts w:ascii="Times New Roman" w:eastAsia="Times New Roman" w:hAnsi="Times New Roman" w:cs="Times New Roman"/>
          <w:bCs/>
          <w:i/>
          <w:kern w:val="0"/>
          <w14:ligatures w14:val="none"/>
        </w:rPr>
        <w:t>BM adaptation</w:t>
      </w:r>
      <w:r w:rsidR="00565A3E" w:rsidRPr="00D65F76">
        <w:rPr>
          <w:rFonts w:ascii="Times New Roman" w:eastAsia="Times New Roman" w:hAnsi="Times New Roman" w:cs="Times New Roman"/>
          <w:bCs/>
          <w:kern w:val="0"/>
          <w14:ligatures w14:val="none"/>
        </w:rPr>
        <w:t xml:space="preserve"> (</w:t>
      </w:r>
      <w:r w:rsidR="00565A3E" w:rsidRPr="00D65F76">
        <w:rPr>
          <w:rFonts w:ascii="Times New Roman" w:eastAsia="Times New Roman" w:hAnsi="Times New Roman" w:cs="Times New Roman"/>
          <w:bCs/>
          <w:i/>
          <w:iCs/>
          <w:kern w:val="0"/>
          <w14:ligatures w14:val="none"/>
        </w:rPr>
        <w:t>F</w:t>
      </w:r>
      <w:r w:rsidR="00565A3E" w:rsidRPr="00D65F76">
        <w:rPr>
          <w:rFonts w:ascii="Times New Roman" w:eastAsia="Times New Roman" w:hAnsi="Times New Roman" w:cs="Times New Roman"/>
          <w:bCs/>
          <w:kern w:val="0"/>
          <w:vertAlign w:val="subscript"/>
          <w14:ligatures w14:val="none"/>
        </w:rPr>
        <w:t>1, 847</w:t>
      </w:r>
      <w:r w:rsidR="00565A3E" w:rsidRPr="00D65F76">
        <w:rPr>
          <w:rFonts w:ascii="Times New Roman" w:eastAsia="Times New Roman" w:hAnsi="Times New Roman" w:cs="Times New Roman"/>
          <w:bCs/>
          <w:kern w:val="0"/>
          <w14:ligatures w14:val="none"/>
        </w:rPr>
        <w:t xml:space="preserve"> = 1.60, </w:t>
      </w:r>
      <w:r w:rsidR="00565A3E" w:rsidRPr="00D65F76">
        <w:rPr>
          <w:rFonts w:ascii="Times New Roman" w:eastAsia="Times New Roman" w:hAnsi="Times New Roman" w:cs="Times New Roman"/>
          <w:bCs/>
          <w:i/>
          <w:iCs/>
          <w:kern w:val="0"/>
          <w14:ligatures w14:val="none"/>
        </w:rPr>
        <w:t>p</w:t>
      </w:r>
      <w:r w:rsidR="00565A3E" w:rsidRPr="00D65F76">
        <w:rPr>
          <w:rFonts w:ascii="Times New Roman" w:eastAsia="Times New Roman" w:hAnsi="Times New Roman" w:cs="Times New Roman"/>
          <w:bCs/>
          <w:iCs/>
          <w:kern w:val="0"/>
          <w14:ligatures w14:val="none"/>
        </w:rPr>
        <w:t> </w:t>
      </w:r>
      <w:r w:rsidR="00565A3E" w:rsidRPr="00D65F76">
        <w:rPr>
          <w:rFonts w:ascii="Times New Roman" w:eastAsia="Times New Roman" w:hAnsi="Times New Roman" w:cs="Times New Roman"/>
          <w:bCs/>
          <w:iCs/>
          <w:kern w:val="0"/>
          <w:lang w:val="en-US"/>
          <w14:ligatures w14:val="none"/>
        </w:rPr>
        <w:t>=</w:t>
      </w:r>
      <w:r w:rsidR="00565A3E" w:rsidRPr="00D65F76">
        <w:rPr>
          <w:rFonts w:ascii="Times New Roman" w:eastAsia="Times New Roman" w:hAnsi="Times New Roman" w:cs="Times New Roman"/>
          <w:bCs/>
          <w:iCs/>
          <w:kern w:val="0"/>
          <w14:ligatures w14:val="none"/>
        </w:rPr>
        <w:t> .206)</w:t>
      </w:r>
      <w:r w:rsidR="00565A3E" w:rsidRPr="00D65F76">
        <w:rPr>
          <w:rFonts w:ascii="Times New Roman" w:eastAsia="Times New Roman" w:hAnsi="Times New Roman" w:cs="Times New Roman"/>
          <w:bCs/>
          <w:kern w:val="0"/>
          <w14:ligatures w14:val="none"/>
        </w:rPr>
        <w:t xml:space="preserve"> and </w:t>
      </w:r>
      <w:r w:rsidR="00565A3E" w:rsidRPr="00D65F76">
        <w:rPr>
          <w:rFonts w:ascii="Times New Roman" w:eastAsia="Times New Roman" w:hAnsi="Times New Roman" w:cs="Times New Roman"/>
          <w:bCs/>
          <w:i/>
          <w:kern w:val="0"/>
          <w14:ligatures w14:val="none"/>
        </w:rPr>
        <w:t>experimentation</w:t>
      </w:r>
      <w:r w:rsidR="00565A3E" w:rsidRPr="00D65F76">
        <w:rPr>
          <w:rFonts w:ascii="Times New Roman" w:eastAsia="Times New Roman" w:hAnsi="Times New Roman" w:cs="Times New Roman"/>
          <w:bCs/>
          <w:kern w:val="0"/>
          <w14:ligatures w14:val="none"/>
        </w:rPr>
        <w:t xml:space="preserve"> (</w:t>
      </w:r>
      <w:r w:rsidR="00565A3E" w:rsidRPr="00D65F76">
        <w:rPr>
          <w:rFonts w:ascii="Times New Roman" w:eastAsia="Times New Roman" w:hAnsi="Times New Roman" w:cs="Times New Roman"/>
          <w:bCs/>
          <w:i/>
          <w:iCs/>
          <w:kern w:val="0"/>
          <w14:ligatures w14:val="none"/>
        </w:rPr>
        <w:t>F</w:t>
      </w:r>
      <w:r w:rsidR="00565A3E" w:rsidRPr="00D65F76">
        <w:rPr>
          <w:rFonts w:ascii="Times New Roman" w:eastAsia="Times New Roman" w:hAnsi="Times New Roman" w:cs="Times New Roman"/>
          <w:bCs/>
          <w:kern w:val="0"/>
          <w:vertAlign w:val="subscript"/>
          <w14:ligatures w14:val="none"/>
        </w:rPr>
        <w:t>1, 702</w:t>
      </w:r>
      <w:r w:rsidR="00565A3E" w:rsidRPr="00D65F76">
        <w:rPr>
          <w:rFonts w:ascii="Times New Roman" w:eastAsia="Times New Roman" w:hAnsi="Times New Roman" w:cs="Times New Roman"/>
          <w:bCs/>
          <w:kern w:val="0"/>
          <w14:ligatures w14:val="none"/>
        </w:rPr>
        <w:t xml:space="preserve"> = .90, </w:t>
      </w:r>
      <w:r w:rsidR="00565A3E" w:rsidRPr="00D65F76">
        <w:rPr>
          <w:rFonts w:ascii="Times New Roman" w:eastAsia="Times New Roman" w:hAnsi="Times New Roman" w:cs="Times New Roman"/>
          <w:bCs/>
          <w:i/>
          <w:iCs/>
          <w:kern w:val="0"/>
          <w14:ligatures w14:val="none"/>
        </w:rPr>
        <w:t>p</w:t>
      </w:r>
      <w:r w:rsidR="00565A3E" w:rsidRPr="00D65F76">
        <w:rPr>
          <w:rFonts w:ascii="Times New Roman" w:eastAsia="Times New Roman" w:hAnsi="Times New Roman" w:cs="Times New Roman"/>
          <w:bCs/>
          <w:iCs/>
          <w:kern w:val="0"/>
          <w14:ligatures w14:val="none"/>
        </w:rPr>
        <w:t> </w:t>
      </w:r>
      <w:r w:rsidR="00565A3E" w:rsidRPr="00D65F76">
        <w:rPr>
          <w:rFonts w:ascii="Times New Roman" w:eastAsia="Times New Roman" w:hAnsi="Times New Roman" w:cs="Times New Roman"/>
          <w:bCs/>
          <w:iCs/>
          <w:kern w:val="0"/>
          <w:lang w:val="en-US"/>
          <w14:ligatures w14:val="none"/>
        </w:rPr>
        <w:t>=</w:t>
      </w:r>
      <w:r w:rsidR="00565A3E" w:rsidRPr="00D65F76">
        <w:rPr>
          <w:rFonts w:ascii="Times New Roman" w:eastAsia="Times New Roman" w:hAnsi="Times New Roman" w:cs="Times New Roman"/>
          <w:bCs/>
          <w:iCs/>
          <w:kern w:val="0"/>
          <w14:ligatures w14:val="none"/>
        </w:rPr>
        <w:t> .343)</w:t>
      </w:r>
      <w:r w:rsidR="00565A3E" w:rsidRPr="00D65F76">
        <w:rPr>
          <w:rFonts w:ascii="Times New Roman" w:eastAsia="Times New Roman" w:hAnsi="Times New Roman" w:cs="Times New Roman"/>
          <w:bCs/>
          <w:kern w:val="0"/>
          <w14:ligatures w14:val="none"/>
        </w:rPr>
        <w:t xml:space="preserve">. </w:t>
      </w:r>
      <w:r w:rsidR="00A94871">
        <w:rPr>
          <w:rFonts w:ascii="Times New Roman" w:eastAsia="Calibri" w:hAnsi="Times New Roman" w:cs="Times New Roman"/>
          <w:bCs/>
          <w:lang w:val="en-US"/>
        </w:rPr>
        <w:t xml:space="preserve">I </w:t>
      </w:r>
      <w:r w:rsidR="00565A3E">
        <w:rPr>
          <w:rFonts w:ascii="Times New Roman" w:eastAsia="Calibri" w:hAnsi="Times New Roman" w:cs="Times New Roman"/>
          <w:bCs/>
          <w:lang w:val="en-US"/>
        </w:rPr>
        <w:t>also</w:t>
      </w:r>
      <w:r w:rsidRPr="00086D9C">
        <w:rPr>
          <w:rFonts w:ascii="Times New Roman" w:eastAsia="Calibri" w:hAnsi="Times New Roman" w:cs="Times New Roman"/>
          <w:bCs/>
          <w:lang w:val="en-US"/>
        </w:rPr>
        <w:t xml:space="preserve"> conducted a series of ANOVAs comparing participants who had responded to all the surveys with those who had abandoned the series at some point. Results revealed no statistically significant evidence that respondents and dropouts differed in terms of their age (</w:t>
      </w:r>
      <w:r w:rsidRPr="00086D9C">
        <w:rPr>
          <w:rFonts w:ascii="Times New Roman" w:eastAsia="Calibri" w:hAnsi="Times New Roman" w:cs="Times New Roman"/>
          <w:bCs/>
          <w:i/>
          <w:iCs/>
          <w:lang w:val="en-US"/>
        </w:rPr>
        <w:t>F</w:t>
      </w:r>
      <w:r w:rsidRPr="00086D9C">
        <w:rPr>
          <w:rFonts w:ascii="Times New Roman" w:eastAsia="Calibri" w:hAnsi="Times New Roman" w:cs="Times New Roman"/>
          <w:bCs/>
          <w:vertAlign w:val="subscript"/>
          <w:lang w:val="en-US"/>
        </w:rPr>
        <w:t>1,920</w:t>
      </w:r>
      <w:r w:rsidRPr="00086D9C">
        <w:rPr>
          <w:rFonts w:ascii="Times New Roman" w:eastAsia="Calibri" w:hAnsi="Times New Roman" w:cs="Times New Roman"/>
          <w:bCs/>
          <w:lang w:val="en-US"/>
        </w:rPr>
        <w:t xml:space="preserve"> = 3.16; </w:t>
      </w:r>
      <w:r w:rsidRPr="00086D9C">
        <w:rPr>
          <w:rFonts w:ascii="Times New Roman" w:eastAsia="Calibri" w:hAnsi="Times New Roman" w:cs="Times New Roman"/>
          <w:bCs/>
          <w:i/>
          <w:iCs/>
          <w:lang w:val="en-US"/>
        </w:rPr>
        <w:t>p</w:t>
      </w:r>
      <w:r w:rsidRPr="00086D9C">
        <w:rPr>
          <w:rFonts w:ascii="Times New Roman" w:eastAsia="Calibri" w:hAnsi="Times New Roman" w:cs="Times New Roman"/>
          <w:bCs/>
          <w:iCs/>
          <w:lang w:val="en-US"/>
        </w:rPr>
        <w:t> = .096)</w:t>
      </w:r>
      <w:r w:rsidRPr="00086D9C">
        <w:rPr>
          <w:rFonts w:ascii="Times New Roman" w:eastAsia="Calibri" w:hAnsi="Times New Roman" w:cs="Times New Roman"/>
          <w:bCs/>
          <w:lang w:val="en-US"/>
        </w:rPr>
        <w:t xml:space="preserve">. Focusing on categorical variables, a series of </w:t>
      </w:r>
      <w:r w:rsidR="004C79ED" w:rsidRPr="00086D9C">
        <w:rPr>
          <w:rFonts w:ascii="Times New Roman" w:eastAsia="Calibri" w:hAnsi="Times New Roman" w:cs="Times New Roman"/>
          <w:bCs/>
          <w:lang w:val="en-US"/>
        </w:rPr>
        <w:t>χ</w:t>
      </w:r>
      <w:r w:rsidR="004C79ED" w:rsidRPr="00086D9C">
        <w:rPr>
          <w:rFonts w:ascii="Times New Roman" w:eastAsia="Calibri" w:hAnsi="Times New Roman" w:cs="Times New Roman"/>
          <w:bCs/>
          <w:vertAlign w:val="superscript"/>
          <w:lang w:val="en-US"/>
        </w:rPr>
        <w:t>2</w:t>
      </w:r>
      <w:r w:rsidR="004C79ED">
        <w:rPr>
          <w:rFonts w:ascii="Times New Roman" w:eastAsia="Calibri" w:hAnsi="Times New Roman" w:cs="Times New Roman"/>
          <w:bCs/>
          <w:lang w:val="en-US"/>
        </w:rPr>
        <w:t xml:space="preserve"> t</w:t>
      </w:r>
      <w:r w:rsidRPr="00086D9C">
        <w:rPr>
          <w:rFonts w:ascii="Times New Roman" w:eastAsia="Calibri" w:hAnsi="Times New Roman" w:cs="Times New Roman"/>
          <w:bCs/>
          <w:lang w:val="en-US"/>
        </w:rPr>
        <w:t>ests revealed no statistically significant evidence that participants and dropouts differed in gender (χ</w:t>
      </w:r>
      <w:r w:rsidRPr="00086D9C">
        <w:rPr>
          <w:rFonts w:ascii="Times New Roman" w:eastAsia="Calibri" w:hAnsi="Times New Roman" w:cs="Times New Roman"/>
          <w:bCs/>
          <w:vertAlign w:val="superscript"/>
          <w:lang w:val="en-US"/>
        </w:rPr>
        <w:t>2</w:t>
      </w:r>
      <w:r w:rsidRPr="00086D9C">
        <w:rPr>
          <w:rFonts w:ascii="Times New Roman" w:eastAsia="Calibri" w:hAnsi="Times New Roman" w:cs="Times New Roman"/>
          <w:bCs/>
          <w:vertAlign w:val="subscript"/>
          <w:lang w:val="en-US"/>
        </w:rPr>
        <w:t>1</w:t>
      </w:r>
      <w:r w:rsidRPr="00086D9C">
        <w:rPr>
          <w:rFonts w:ascii="Times New Roman" w:eastAsia="Calibri" w:hAnsi="Times New Roman" w:cs="Times New Roman"/>
          <w:bCs/>
          <w:lang w:val="en-US"/>
        </w:rPr>
        <w:t xml:space="preserve"> = 2.64; </w:t>
      </w:r>
      <w:r w:rsidRPr="00086D9C">
        <w:rPr>
          <w:rFonts w:ascii="Times New Roman" w:eastAsia="Calibri" w:hAnsi="Times New Roman" w:cs="Times New Roman"/>
          <w:bCs/>
          <w:i/>
          <w:iCs/>
          <w:lang w:val="en-US"/>
        </w:rPr>
        <w:t>p</w:t>
      </w:r>
      <w:r w:rsidRPr="00086D9C">
        <w:rPr>
          <w:rFonts w:ascii="Times New Roman" w:eastAsia="Calibri" w:hAnsi="Times New Roman" w:cs="Times New Roman"/>
          <w:bCs/>
          <w:iCs/>
          <w:lang w:val="en-US"/>
        </w:rPr>
        <w:t> = .134)</w:t>
      </w:r>
      <w:r w:rsidRPr="00086D9C">
        <w:rPr>
          <w:rFonts w:ascii="Times New Roman" w:eastAsia="Calibri" w:hAnsi="Times New Roman" w:cs="Times New Roman"/>
          <w:bCs/>
          <w:lang w:val="en-US"/>
        </w:rPr>
        <w:t>; firm size (χ</w:t>
      </w:r>
      <w:r w:rsidRPr="00086D9C">
        <w:rPr>
          <w:rFonts w:ascii="Times New Roman" w:eastAsia="Calibri" w:hAnsi="Times New Roman" w:cs="Times New Roman"/>
          <w:bCs/>
          <w:vertAlign w:val="superscript"/>
          <w:lang w:val="en-US"/>
        </w:rPr>
        <w:t>2</w:t>
      </w:r>
      <w:r w:rsidRPr="00086D9C">
        <w:rPr>
          <w:rFonts w:ascii="Times New Roman" w:eastAsia="Calibri" w:hAnsi="Times New Roman" w:cs="Times New Roman"/>
          <w:bCs/>
          <w:vertAlign w:val="subscript"/>
          <w:lang w:val="en-US"/>
        </w:rPr>
        <w:t>2</w:t>
      </w:r>
      <w:r w:rsidRPr="00086D9C">
        <w:rPr>
          <w:rFonts w:ascii="Times New Roman" w:eastAsia="Calibri" w:hAnsi="Times New Roman" w:cs="Times New Roman"/>
          <w:bCs/>
          <w:lang w:val="en-US"/>
        </w:rPr>
        <w:t xml:space="preserve"> = 3.97; </w:t>
      </w:r>
      <w:r w:rsidRPr="00086D9C">
        <w:rPr>
          <w:rFonts w:ascii="Times New Roman" w:eastAsia="Calibri" w:hAnsi="Times New Roman" w:cs="Times New Roman"/>
          <w:bCs/>
          <w:i/>
          <w:iCs/>
          <w:lang w:val="en-US"/>
        </w:rPr>
        <w:t>p</w:t>
      </w:r>
      <w:r w:rsidRPr="00086D9C">
        <w:rPr>
          <w:rFonts w:ascii="Times New Roman" w:eastAsia="Calibri" w:hAnsi="Times New Roman" w:cs="Times New Roman"/>
          <w:bCs/>
          <w:iCs/>
          <w:lang w:val="en-US"/>
        </w:rPr>
        <w:t> = .157),</w:t>
      </w:r>
      <w:r w:rsidRPr="00086D9C">
        <w:rPr>
          <w:rFonts w:ascii="Times New Roman" w:eastAsia="Calibri" w:hAnsi="Times New Roman" w:cs="Times New Roman"/>
          <w:bCs/>
          <w:lang w:val="en-US"/>
        </w:rPr>
        <w:t xml:space="preserve"> firm revenue (χ</w:t>
      </w:r>
      <w:r w:rsidRPr="00086D9C">
        <w:rPr>
          <w:rFonts w:ascii="Times New Roman" w:eastAsia="Calibri" w:hAnsi="Times New Roman" w:cs="Times New Roman"/>
          <w:bCs/>
          <w:vertAlign w:val="superscript"/>
          <w:lang w:val="en-US"/>
        </w:rPr>
        <w:t>2</w:t>
      </w:r>
      <w:r w:rsidRPr="00086D9C">
        <w:rPr>
          <w:rFonts w:ascii="Times New Roman" w:eastAsia="Calibri" w:hAnsi="Times New Roman" w:cs="Times New Roman"/>
          <w:bCs/>
          <w:vertAlign w:val="subscript"/>
          <w:lang w:val="en-US"/>
        </w:rPr>
        <w:t>2</w:t>
      </w:r>
      <w:r w:rsidRPr="00086D9C">
        <w:rPr>
          <w:rFonts w:ascii="Times New Roman" w:eastAsia="Calibri" w:hAnsi="Times New Roman" w:cs="Times New Roman"/>
          <w:bCs/>
          <w:lang w:val="en-US"/>
        </w:rPr>
        <w:t xml:space="preserve"> = 4.79; </w:t>
      </w:r>
      <w:r w:rsidRPr="00086D9C">
        <w:rPr>
          <w:rFonts w:ascii="Times New Roman" w:eastAsia="Calibri" w:hAnsi="Times New Roman" w:cs="Times New Roman"/>
          <w:bCs/>
          <w:i/>
          <w:iCs/>
          <w:lang w:val="en-US"/>
        </w:rPr>
        <w:t>p</w:t>
      </w:r>
      <w:r w:rsidRPr="00086D9C">
        <w:rPr>
          <w:rFonts w:ascii="Times New Roman" w:eastAsia="Calibri" w:hAnsi="Times New Roman" w:cs="Times New Roman"/>
          <w:bCs/>
          <w:iCs/>
          <w:lang w:val="en-US"/>
        </w:rPr>
        <w:t> = .121),</w:t>
      </w:r>
      <w:r w:rsidRPr="00086D9C">
        <w:rPr>
          <w:rFonts w:ascii="Times New Roman" w:eastAsia="Calibri" w:hAnsi="Times New Roman" w:cs="Times New Roman"/>
          <w:bCs/>
          <w:lang w:val="en-US"/>
        </w:rPr>
        <w:t xml:space="preserve"> or market variations (χ</w:t>
      </w:r>
      <w:r w:rsidRPr="00086D9C">
        <w:rPr>
          <w:rFonts w:ascii="Times New Roman" w:eastAsia="Calibri" w:hAnsi="Times New Roman" w:cs="Times New Roman"/>
          <w:bCs/>
          <w:vertAlign w:val="superscript"/>
          <w:lang w:val="en-US"/>
        </w:rPr>
        <w:t>2</w:t>
      </w:r>
      <w:r w:rsidRPr="00086D9C">
        <w:rPr>
          <w:rFonts w:ascii="Times New Roman" w:eastAsia="Calibri" w:hAnsi="Times New Roman" w:cs="Times New Roman"/>
          <w:bCs/>
          <w:vertAlign w:val="subscript"/>
          <w:lang w:val="en-US"/>
        </w:rPr>
        <w:t>1</w:t>
      </w:r>
      <w:r w:rsidRPr="00086D9C">
        <w:rPr>
          <w:rFonts w:ascii="Times New Roman" w:eastAsia="Calibri" w:hAnsi="Times New Roman" w:cs="Times New Roman"/>
          <w:bCs/>
          <w:lang w:val="en-US"/>
        </w:rPr>
        <w:t xml:space="preserve"> = .01; </w:t>
      </w:r>
      <w:r w:rsidRPr="00086D9C">
        <w:rPr>
          <w:rFonts w:ascii="Times New Roman" w:eastAsia="Calibri" w:hAnsi="Times New Roman" w:cs="Times New Roman"/>
          <w:bCs/>
          <w:i/>
          <w:iCs/>
          <w:lang w:val="en-US"/>
        </w:rPr>
        <w:t>p</w:t>
      </w:r>
      <w:r w:rsidRPr="00086D9C">
        <w:rPr>
          <w:rFonts w:ascii="Times New Roman" w:eastAsia="Calibri" w:hAnsi="Times New Roman" w:cs="Times New Roman"/>
          <w:bCs/>
          <w:iCs/>
          <w:lang w:val="en-US"/>
        </w:rPr>
        <w:t> = .957</w:t>
      </w:r>
      <w:r w:rsidRPr="00086D9C">
        <w:rPr>
          <w:rFonts w:ascii="Times New Roman" w:eastAsia="Calibri" w:hAnsi="Times New Roman" w:cs="Times New Roman"/>
          <w:bCs/>
          <w:lang w:val="en-US"/>
        </w:rPr>
        <w:t>).</w:t>
      </w:r>
    </w:p>
    <w:p w14:paraId="7AC645C0" w14:textId="58317AC5" w:rsidR="007A361D" w:rsidRDefault="00565A3E" w:rsidP="009653C2">
      <w:pPr>
        <w:widowControl w:val="0"/>
        <w:spacing w:line="480" w:lineRule="auto"/>
        <w:ind w:firstLine="720"/>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E</w:t>
      </w:r>
      <w:r w:rsidR="00D65F76" w:rsidRPr="00D65F76">
        <w:rPr>
          <w:rFonts w:ascii="Times New Roman" w:eastAsia="Times New Roman" w:hAnsi="Times New Roman" w:cs="Times New Roman"/>
          <w:kern w:val="0"/>
          <w14:ligatures w14:val="none"/>
        </w:rPr>
        <w:t xml:space="preserve">ven though data were collected at different times, they could still suffer from common method bias because they were all collected from the same source and using the same tool (surveys). </w:t>
      </w:r>
      <w:r w:rsidR="00A94871">
        <w:rPr>
          <w:rFonts w:ascii="Times New Roman" w:eastAsia="Times New Roman" w:hAnsi="Times New Roman" w:cs="Times New Roman"/>
          <w:kern w:val="0"/>
          <w14:ligatures w14:val="none"/>
        </w:rPr>
        <w:t xml:space="preserve">I </w:t>
      </w:r>
      <w:r w:rsidR="00D65F76" w:rsidRPr="00D65F76">
        <w:rPr>
          <w:rFonts w:ascii="Times New Roman" w:eastAsia="Times New Roman" w:hAnsi="Times New Roman" w:cs="Times New Roman"/>
          <w:kern w:val="0"/>
          <w14:ligatures w14:val="none"/>
        </w:rPr>
        <w:t xml:space="preserve">assessed such possible bias using confirmatory factor analysis and modeled a single common latent factor for all items, in addition to the other latent factors (Podsakoff et al., 2003). </w:t>
      </w:r>
      <w:r w:rsidR="00A94871">
        <w:rPr>
          <w:rFonts w:ascii="Times New Roman" w:eastAsia="Times New Roman" w:hAnsi="Times New Roman" w:cs="Times New Roman"/>
          <w:kern w:val="0"/>
          <w14:ligatures w14:val="none"/>
        </w:rPr>
        <w:t xml:space="preserve">I </w:t>
      </w:r>
      <w:r w:rsidR="00D65F76" w:rsidRPr="00D65F76">
        <w:rPr>
          <w:rFonts w:ascii="Times New Roman" w:eastAsia="Times New Roman" w:hAnsi="Times New Roman" w:cs="Times New Roman"/>
          <w:kern w:val="0"/>
          <w14:ligatures w14:val="none"/>
        </w:rPr>
        <w:t>found that none of the items load significantly on the common latent factor, the factor loadings remain significant on their respective latent factor, and the fit indices are not improved (Δχ² = 29.6; Δ</w:t>
      </w:r>
      <w:r w:rsidR="00D65F76" w:rsidRPr="00D65F76">
        <w:rPr>
          <w:rFonts w:ascii="Times New Roman" w:eastAsia="Times New Roman" w:hAnsi="Times New Roman" w:cs="Times New Roman"/>
          <w:i/>
          <w:iCs/>
          <w:kern w:val="0"/>
          <w14:ligatures w14:val="none"/>
        </w:rPr>
        <w:t>df</w:t>
      </w:r>
      <w:r w:rsidR="00D65F76" w:rsidRPr="00D65F76">
        <w:rPr>
          <w:rFonts w:ascii="Times New Roman" w:eastAsia="Times New Roman" w:hAnsi="Times New Roman" w:cs="Times New Roman"/>
          <w:kern w:val="0"/>
          <w14:ligatures w14:val="none"/>
        </w:rPr>
        <w:t xml:space="preserve"> = 22, </w:t>
      </w:r>
      <w:r w:rsidR="00D65F76" w:rsidRPr="00D65F76">
        <w:rPr>
          <w:rFonts w:ascii="Times New Roman" w:eastAsia="Times New Roman" w:hAnsi="Times New Roman" w:cs="Times New Roman"/>
          <w:i/>
          <w:iCs/>
          <w:kern w:val="0"/>
          <w14:ligatures w14:val="none"/>
        </w:rPr>
        <w:t xml:space="preserve">p </w:t>
      </w:r>
      <w:r w:rsidR="00D65F76" w:rsidRPr="00D65F76">
        <w:rPr>
          <w:rFonts w:ascii="Times New Roman" w:eastAsia="Times New Roman" w:hAnsi="Times New Roman" w:cs="Times New Roman"/>
          <w:kern w:val="0"/>
          <w14:ligatures w14:val="none"/>
        </w:rPr>
        <w:t>= .128). Specifically, the differences between the loadings with and without the common</w:t>
      </w:r>
      <w:r w:rsidR="00D65F76" w:rsidRPr="009653C2">
        <w:rPr>
          <w:rFonts w:ascii="Times New Roman" w:eastAsia="Times New Roman" w:hAnsi="Times New Roman" w:cs="Times New Roman"/>
          <w:kern w:val="0"/>
          <w14:ligatures w14:val="none"/>
        </w:rPr>
        <w:t xml:space="preserve"> latent factor range from .001 and .069, and the common latent factor is shown to explain less than four percent of common shared variance. </w:t>
      </w:r>
      <w:r w:rsidR="00A94871">
        <w:rPr>
          <w:rFonts w:ascii="Times New Roman" w:eastAsia="Times New Roman" w:hAnsi="Times New Roman" w:cs="Times New Roman"/>
          <w:kern w:val="0"/>
          <w14:ligatures w14:val="none"/>
        </w:rPr>
        <w:t xml:space="preserve">I </w:t>
      </w:r>
      <w:r w:rsidR="00D65F76" w:rsidRPr="009653C2">
        <w:rPr>
          <w:rFonts w:ascii="Times New Roman" w:eastAsia="Times New Roman" w:hAnsi="Times New Roman" w:cs="Times New Roman"/>
          <w:kern w:val="0"/>
          <w14:ligatures w14:val="none"/>
        </w:rPr>
        <w:t xml:space="preserve">thus felt confident to proceed with </w:t>
      </w:r>
      <w:r w:rsidR="00A94871">
        <w:rPr>
          <w:rFonts w:ascii="Times New Roman" w:eastAsia="Times New Roman" w:hAnsi="Times New Roman" w:cs="Times New Roman"/>
          <w:kern w:val="0"/>
          <w14:ligatures w14:val="none"/>
        </w:rPr>
        <w:t xml:space="preserve">my </w:t>
      </w:r>
      <w:r w:rsidR="00D65F76" w:rsidRPr="009653C2">
        <w:rPr>
          <w:rFonts w:ascii="Times New Roman" w:eastAsia="Times New Roman" w:hAnsi="Times New Roman" w:cs="Times New Roman"/>
          <w:kern w:val="0"/>
          <w14:ligatures w14:val="none"/>
        </w:rPr>
        <w:t>analysis of the data</w:t>
      </w:r>
      <w:r w:rsidR="009653C2" w:rsidRPr="009653C2">
        <w:rPr>
          <w:rFonts w:ascii="Times New Roman" w:eastAsia="Times New Roman" w:hAnsi="Times New Roman" w:cs="Times New Roman"/>
          <w:kern w:val="0"/>
          <w14:ligatures w14:val="none"/>
        </w:rPr>
        <w:t>.</w:t>
      </w:r>
    </w:p>
    <w:p w14:paraId="3C8E97A9" w14:textId="48025646" w:rsidR="00FC31FE" w:rsidRPr="007B2177" w:rsidRDefault="007B2177" w:rsidP="00EC3A9A">
      <w:pPr>
        <w:spacing w:line="480" w:lineRule="auto"/>
        <w:ind w:firstLine="720"/>
        <w:rPr>
          <w:rFonts w:ascii="Times New Roman" w:hAnsi="Times New Roman" w:cs="Times New Roman"/>
          <w:bCs/>
        </w:rPr>
      </w:pPr>
      <w:r w:rsidRPr="0069009C">
        <w:rPr>
          <w:rFonts w:ascii="Times New Roman" w:hAnsi="Times New Roman" w:cs="Times New Roman"/>
          <w:b/>
          <w:bCs/>
        </w:rPr>
        <w:t xml:space="preserve">Study 1 </w:t>
      </w:r>
      <w:r>
        <w:rPr>
          <w:rFonts w:ascii="Times New Roman" w:hAnsi="Times New Roman" w:cs="Times New Roman"/>
          <w:b/>
          <w:bCs/>
        </w:rPr>
        <w:t>Additional Robustness Check</w:t>
      </w:r>
      <w:r w:rsidRPr="0069009C">
        <w:rPr>
          <w:rFonts w:ascii="Times New Roman" w:hAnsi="Times New Roman" w:cs="Times New Roman"/>
          <w:b/>
          <w:bCs/>
        </w:rPr>
        <w:t>.</w:t>
      </w:r>
      <w:r>
        <w:rPr>
          <w:rFonts w:ascii="Times New Roman" w:hAnsi="Times New Roman" w:cs="Times New Roman"/>
        </w:rPr>
        <w:t xml:space="preserve"> </w:t>
      </w:r>
      <w:r w:rsidRPr="007136FC">
        <w:rPr>
          <w:rFonts w:ascii="Times New Roman" w:hAnsi="Times New Roman" w:cs="Times New Roman"/>
          <w:bCs/>
        </w:rPr>
        <w:t xml:space="preserve">Following a valuable observation from an anonymous reviewer, whom </w:t>
      </w:r>
      <w:r w:rsidR="00A94871">
        <w:rPr>
          <w:rFonts w:ascii="Times New Roman" w:hAnsi="Times New Roman" w:cs="Times New Roman"/>
          <w:bCs/>
        </w:rPr>
        <w:t xml:space="preserve">I </w:t>
      </w:r>
      <w:r w:rsidRPr="007136FC">
        <w:rPr>
          <w:rFonts w:ascii="Times New Roman" w:hAnsi="Times New Roman" w:cs="Times New Roman"/>
          <w:bCs/>
        </w:rPr>
        <w:t xml:space="preserve">thank, </w:t>
      </w:r>
      <w:r w:rsidR="00A94871">
        <w:rPr>
          <w:rFonts w:ascii="Times New Roman" w:hAnsi="Times New Roman" w:cs="Times New Roman"/>
          <w:bCs/>
        </w:rPr>
        <w:t xml:space="preserve">I </w:t>
      </w:r>
      <w:r w:rsidRPr="007136FC">
        <w:rPr>
          <w:rFonts w:ascii="Times New Roman" w:hAnsi="Times New Roman" w:cs="Times New Roman"/>
          <w:bCs/>
        </w:rPr>
        <w:t xml:space="preserve">also considered the inclusion of future plans in </w:t>
      </w:r>
      <w:r w:rsidR="00A94871">
        <w:rPr>
          <w:rFonts w:ascii="Times New Roman" w:hAnsi="Times New Roman" w:cs="Times New Roman"/>
          <w:bCs/>
        </w:rPr>
        <w:t xml:space="preserve">my </w:t>
      </w:r>
      <w:r w:rsidRPr="007136FC">
        <w:rPr>
          <w:rFonts w:ascii="Times New Roman" w:hAnsi="Times New Roman" w:cs="Times New Roman"/>
          <w:bCs/>
        </w:rPr>
        <w:lastRenderedPageBreak/>
        <w:t xml:space="preserve">conceptualization of entrepreneurial self-promotion. Specifically, </w:t>
      </w:r>
      <w:r w:rsidR="00A94871">
        <w:rPr>
          <w:rFonts w:ascii="Times New Roman" w:hAnsi="Times New Roman" w:cs="Times New Roman"/>
          <w:bCs/>
        </w:rPr>
        <w:t xml:space="preserve">my </w:t>
      </w:r>
      <w:r w:rsidRPr="007136FC">
        <w:rPr>
          <w:rFonts w:ascii="Times New Roman" w:hAnsi="Times New Roman" w:cs="Times New Roman"/>
          <w:bCs/>
        </w:rPr>
        <w:t xml:space="preserve">scale of entrepreneurial self-promotion includes one item focused on future plans or goals, while the other three items are about </w:t>
      </w:r>
      <w:r w:rsidRPr="007136FC">
        <w:rPr>
          <w:rFonts w:ascii="Times New Roman" w:hAnsi="Times New Roman" w:cs="Times New Roman"/>
          <w:bCs/>
          <w:i/>
          <w:iCs/>
        </w:rPr>
        <w:t>current</w:t>
      </w:r>
      <w:r w:rsidRPr="007136FC">
        <w:rPr>
          <w:rFonts w:ascii="Times New Roman" w:hAnsi="Times New Roman" w:cs="Times New Roman"/>
          <w:bCs/>
        </w:rPr>
        <w:t xml:space="preserve"> positive aspects of the venture. As a robustness check, </w:t>
      </w:r>
      <w:r w:rsidR="00A94871">
        <w:rPr>
          <w:rFonts w:ascii="Times New Roman" w:hAnsi="Times New Roman" w:cs="Times New Roman"/>
          <w:bCs/>
        </w:rPr>
        <w:t xml:space="preserve">I </w:t>
      </w:r>
      <w:r w:rsidRPr="007136FC">
        <w:rPr>
          <w:rFonts w:ascii="Times New Roman" w:hAnsi="Times New Roman" w:cs="Times New Roman"/>
          <w:bCs/>
        </w:rPr>
        <w:t xml:space="preserve">tested </w:t>
      </w:r>
      <w:r w:rsidR="00A94871">
        <w:rPr>
          <w:rFonts w:ascii="Times New Roman" w:hAnsi="Times New Roman" w:cs="Times New Roman"/>
          <w:bCs/>
        </w:rPr>
        <w:t xml:space="preserve">my </w:t>
      </w:r>
      <w:r w:rsidRPr="007136FC">
        <w:rPr>
          <w:rFonts w:ascii="Times New Roman" w:hAnsi="Times New Roman" w:cs="Times New Roman"/>
          <w:bCs/>
        </w:rPr>
        <w:t xml:space="preserve">model excluding the one item that refers to the entrepreneur’s goals (‘I talked proudly about my business or about my goals as an entrepreneur’) and found that the changes to </w:t>
      </w:r>
      <w:r w:rsidR="00A94871">
        <w:rPr>
          <w:rFonts w:ascii="Times New Roman" w:hAnsi="Times New Roman" w:cs="Times New Roman"/>
          <w:bCs/>
        </w:rPr>
        <w:t xml:space="preserve">my </w:t>
      </w:r>
      <w:r w:rsidRPr="007136FC">
        <w:rPr>
          <w:rFonts w:ascii="Times New Roman" w:hAnsi="Times New Roman" w:cs="Times New Roman"/>
          <w:bCs/>
        </w:rPr>
        <w:t xml:space="preserve">results are marginal. </w:t>
      </w:r>
      <w:r w:rsidR="00A94871">
        <w:rPr>
          <w:rFonts w:ascii="Times New Roman" w:hAnsi="Times New Roman" w:cs="Times New Roman"/>
          <w:bCs/>
        </w:rPr>
        <w:t>I was</w:t>
      </w:r>
      <w:r w:rsidRPr="007136FC">
        <w:rPr>
          <w:rFonts w:ascii="Times New Roman" w:hAnsi="Times New Roman" w:cs="Times New Roman"/>
          <w:bCs/>
        </w:rPr>
        <w:t xml:space="preserve"> also careful to ensure that the scenarios used in </w:t>
      </w:r>
      <w:r w:rsidR="00A94871">
        <w:rPr>
          <w:rFonts w:ascii="Times New Roman" w:hAnsi="Times New Roman" w:cs="Times New Roman"/>
          <w:bCs/>
        </w:rPr>
        <w:t xml:space="preserve">my </w:t>
      </w:r>
      <w:r w:rsidRPr="007136FC">
        <w:rPr>
          <w:rFonts w:ascii="Times New Roman" w:hAnsi="Times New Roman" w:cs="Times New Roman"/>
          <w:bCs/>
        </w:rPr>
        <w:t xml:space="preserve">experiments covered current positive aspects of </w:t>
      </w:r>
      <w:r w:rsidRPr="00240B26">
        <w:rPr>
          <w:rFonts w:ascii="Times New Roman" w:hAnsi="Times New Roman" w:cs="Times New Roman"/>
          <w:bCs/>
        </w:rPr>
        <w:t xml:space="preserve">the venture, not just future plans. </w:t>
      </w:r>
      <w:r w:rsidR="00A94871" w:rsidRPr="00240B26">
        <w:rPr>
          <w:rFonts w:ascii="Times New Roman" w:hAnsi="Times New Roman" w:cs="Times New Roman"/>
          <w:bCs/>
        </w:rPr>
        <w:t xml:space="preserve">I </w:t>
      </w:r>
      <w:r w:rsidRPr="00240B26">
        <w:rPr>
          <w:rFonts w:ascii="Times New Roman" w:hAnsi="Times New Roman" w:cs="Times New Roman"/>
          <w:bCs/>
        </w:rPr>
        <w:t xml:space="preserve">touch on this point in the manuscript when </w:t>
      </w:r>
      <w:r w:rsidR="00A94871" w:rsidRPr="00240B26">
        <w:rPr>
          <w:rFonts w:ascii="Times New Roman" w:hAnsi="Times New Roman" w:cs="Times New Roman"/>
          <w:bCs/>
        </w:rPr>
        <w:t xml:space="preserve">I </w:t>
      </w:r>
      <w:r w:rsidRPr="00240B26">
        <w:rPr>
          <w:rFonts w:ascii="Times New Roman" w:hAnsi="Times New Roman" w:cs="Times New Roman"/>
          <w:bCs/>
        </w:rPr>
        <w:t>discuss limitations and avenues for future research.</w:t>
      </w:r>
    </w:p>
    <w:p w14:paraId="36A56498" w14:textId="1AE55217" w:rsidR="007A361D" w:rsidRPr="009653C2" w:rsidRDefault="007A361D" w:rsidP="007A361D">
      <w:pPr>
        <w:spacing w:line="480" w:lineRule="auto"/>
        <w:contextualSpacing/>
        <w:jc w:val="center"/>
        <w:rPr>
          <w:rFonts w:ascii="Times New Roman" w:eastAsia="Times New Roman" w:hAnsi="Times New Roman" w:cs="Times New Roman"/>
          <w:b/>
          <w:bCs/>
          <w:kern w:val="0"/>
          <w14:ligatures w14:val="none"/>
        </w:rPr>
      </w:pPr>
      <w:r w:rsidRPr="009653C2">
        <w:rPr>
          <w:rFonts w:ascii="Times New Roman" w:eastAsia="Times New Roman" w:hAnsi="Times New Roman" w:cs="Times New Roman"/>
          <w:b/>
          <w:bCs/>
          <w:kern w:val="0"/>
          <w14:ligatures w14:val="none"/>
        </w:rPr>
        <w:t>Appendix</w:t>
      </w:r>
      <w:r w:rsidR="009653C2" w:rsidRPr="009653C2">
        <w:rPr>
          <w:rFonts w:ascii="Times New Roman" w:eastAsia="Times New Roman" w:hAnsi="Times New Roman" w:cs="Times New Roman"/>
          <w:b/>
          <w:bCs/>
          <w:kern w:val="0"/>
          <w14:ligatures w14:val="none"/>
        </w:rPr>
        <w:t xml:space="preserve"> A</w:t>
      </w:r>
      <w:r w:rsidRPr="009653C2">
        <w:rPr>
          <w:rFonts w:ascii="Times New Roman" w:eastAsia="Times New Roman" w:hAnsi="Times New Roman" w:cs="Times New Roman"/>
          <w:b/>
          <w:bCs/>
          <w:kern w:val="0"/>
          <w14:ligatures w14:val="none"/>
        </w:rPr>
        <w:t xml:space="preserve"> References</w:t>
      </w:r>
    </w:p>
    <w:p w14:paraId="0B456A47" w14:textId="77777777" w:rsidR="007A361D" w:rsidRPr="009653C2" w:rsidRDefault="007A361D" w:rsidP="007A361D">
      <w:pPr>
        <w:ind w:left="720" w:hanging="720"/>
        <w:contextualSpacing/>
        <w:rPr>
          <w:rFonts w:ascii="Times New Roman" w:eastAsia="Times New Roman" w:hAnsi="Times New Roman" w:cs="Times New Roman"/>
          <w:kern w:val="0"/>
          <w:lang w:val="en-US"/>
          <w14:ligatures w14:val="none"/>
        </w:rPr>
      </w:pPr>
      <w:r w:rsidRPr="00240B26">
        <w:rPr>
          <w:rFonts w:ascii="Times New Roman" w:eastAsia="Times New Roman" w:hAnsi="Times New Roman" w:cs="Times New Roman"/>
          <w:kern w:val="0"/>
          <w:lang w:val="fr-CA"/>
          <w14:ligatures w14:val="none"/>
        </w:rPr>
        <w:t xml:space="preserve">Amore, M., Garofalo, O., &amp; Martin-Sanchez, V. (2022). </w:t>
      </w:r>
      <w:r w:rsidRPr="009653C2">
        <w:rPr>
          <w:rFonts w:ascii="Times New Roman" w:eastAsia="Times New Roman" w:hAnsi="Times New Roman" w:cs="Times New Roman"/>
          <w:kern w:val="0"/>
          <w:lang w:val="en-US"/>
          <w14:ligatures w14:val="none"/>
        </w:rPr>
        <w:t>Dispositional optimism and business recovery during a pandemic. PloS one, 17(6), e0269707.</w:t>
      </w:r>
    </w:p>
    <w:p w14:paraId="7A91676E" w14:textId="77777777" w:rsidR="007A361D" w:rsidRPr="009653C2" w:rsidRDefault="007A361D" w:rsidP="009653C2">
      <w:pPr>
        <w:contextualSpacing/>
        <w:rPr>
          <w:rFonts w:ascii="Times New Roman" w:eastAsia="Times New Roman" w:hAnsi="Times New Roman" w:cs="Times New Roman"/>
          <w:kern w:val="0"/>
          <w:lang w:val="en-US"/>
          <w14:ligatures w14:val="none"/>
        </w:rPr>
      </w:pPr>
    </w:p>
    <w:p w14:paraId="1B4986B3" w14:textId="0210F18A" w:rsidR="007A361D" w:rsidRPr="009653C2" w:rsidRDefault="007A361D" w:rsidP="007A361D">
      <w:pPr>
        <w:ind w:left="720" w:hanging="720"/>
        <w:contextualSpacing/>
        <w:rPr>
          <w:rFonts w:ascii="Times New Roman" w:eastAsia="Times New Roman" w:hAnsi="Times New Roman" w:cs="Times New Roman"/>
          <w:kern w:val="0"/>
          <w:lang w:val="en-US"/>
          <w14:ligatures w14:val="none"/>
        </w:rPr>
      </w:pPr>
      <w:r w:rsidRPr="009653C2">
        <w:rPr>
          <w:rFonts w:ascii="Times New Roman" w:eastAsia="Times New Roman" w:hAnsi="Times New Roman" w:cs="Times New Roman"/>
          <w:kern w:val="0"/>
          <w:lang w:val="en-US"/>
          <w14:ligatures w14:val="none"/>
        </w:rPr>
        <w:t>Bandura, A. (1977). Self-efficacy: Toward a unifying theory of behavioral change. Psychological Review, 84(2), 191-215.</w:t>
      </w:r>
    </w:p>
    <w:p w14:paraId="19DC35BF" w14:textId="77777777" w:rsidR="00821395" w:rsidRPr="009653C2" w:rsidRDefault="00821395" w:rsidP="009653C2">
      <w:pPr>
        <w:contextualSpacing/>
        <w:rPr>
          <w:rFonts w:ascii="Times New Roman" w:eastAsia="Times New Roman" w:hAnsi="Times New Roman" w:cs="Times New Roman"/>
          <w:kern w:val="0"/>
          <w:lang w:val="en-US"/>
          <w14:ligatures w14:val="none"/>
        </w:rPr>
      </w:pPr>
    </w:p>
    <w:p w14:paraId="71CD5278" w14:textId="77777777" w:rsidR="007A361D" w:rsidRPr="009653C2" w:rsidRDefault="007A361D" w:rsidP="007A361D">
      <w:pPr>
        <w:ind w:left="720" w:hanging="720"/>
        <w:contextualSpacing/>
        <w:rPr>
          <w:rFonts w:ascii="Times New Roman" w:eastAsia="Times New Roman" w:hAnsi="Times New Roman" w:cs="Times New Roman"/>
          <w:kern w:val="0"/>
          <w:lang w:val="en-US"/>
          <w14:ligatures w14:val="none"/>
        </w:rPr>
      </w:pPr>
      <w:r w:rsidRPr="009653C2">
        <w:rPr>
          <w:rFonts w:ascii="Times New Roman" w:eastAsia="Times New Roman" w:hAnsi="Times New Roman" w:cs="Times New Roman"/>
          <w:kern w:val="0"/>
          <w:lang w:val="en-US"/>
          <w14:ligatures w14:val="none"/>
        </w:rPr>
        <w:t>Cho, S. H., &amp; Lee, J. (2021). Estimating the uncertainty–R&amp;D investment relationship and its interactions with firm size. Small Business Economics, 57(3), 1243–1267.</w:t>
      </w:r>
    </w:p>
    <w:p w14:paraId="70866966" w14:textId="77777777" w:rsidR="00821395" w:rsidRPr="009653C2" w:rsidRDefault="00821395" w:rsidP="009653C2">
      <w:pPr>
        <w:contextualSpacing/>
        <w:rPr>
          <w:rFonts w:ascii="Times New Roman" w:eastAsia="Times New Roman" w:hAnsi="Times New Roman" w:cs="Times New Roman"/>
          <w:kern w:val="0"/>
          <w:lang w:val="en-US"/>
          <w14:ligatures w14:val="none"/>
        </w:rPr>
      </w:pPr>
    </w:p>
    <w:p w14:paraId="1F9D60EF" w14:textId="625215F4" w:rsidR="007A361D" w:rsidRPr="009653C2" w:rsidRDefault="007A361D" w:rsidP="007A361D">
      <w:pPr>
        <w:ind w:left="720" w:hanging="720"/>
        <w:contextualSpacing/>
        <w:rPr>
          <w:rFonts w:ascii="Times New Roman" w:eastAsia="Times New Roman" w:hAnsi="Times New Roman" w:cs="Times New Roman"/>
          <w:kern w:val="0"/>
          <w:lang w:val="en-US"/>
          <w14:ligatures w14:val="none"/>
        </w:rPr>
      </w:pPr>
      <w:r w:rsidRPr="009653C2">
        <w:rPr>
          <w:rFonts w:ascii="Times New Roman" w:eastAsia="Times New Roman" w:hAnsi="Times New Roman" w:cs="Times New Roman"/>
          <w:kern w:val="0"/>
          <w:lang w:val="en-US"/>
          <w14:ligatures w14:val="none"/>
        </w:rPr>
        <w:t>Gielnik, M. M., Zacher, H., &amp; Wang, M. (2018). Age in the entrepreneurial process: The role of future time perspective and prior entrepreneurial experience. Journal of Applied Psychology, 103(10), 1067-1085.</w:t>
      </w:r>
    </w:p>
    <w:p w14:paraId="5624A894" w14:textId="77777777" w:rsidR="007A361D" w:rsidRPr="009653C2" w:rsidRDefault="007A361D" w:rsidP="007A361D">
      <w:pPr>
        <w:ind w:left="720" w:hanging="720"/>
        <w:contextualSpacing/>
        <w:rPr>
          <w:rFonts w:ascii="Times New Roman" w:eastAsia="Times New Roman" w:hAnsi="Times New Roman" w:cs="Times New Roman"/>
          <w:kern w:val="0"/>
          <w:lang w:val="en-US"/>
          <w14:ligatures w14:val="none"/>
        </w:rPr>
      </w:pPr>
    </w:p>
    <w:p w14:paraId="6F8692A5" w14:textId="6B6BF2B2" w:rsidR="007A361D" w:rsidRPr="009653C2" w:rsidRDefault="007A361D" w:rsidP="007A361D">
      <w:pPr>
        <w:ind w:left="720" w:hanging="720"/>
        <w:contextualSpacing/>
        <w:rPr>
          <w:rFonts w:ascii="Times New Roman" w:eastAsia="Times New Roman" w:hAnsi="Times New Roman" w:cs="Times New Roman"/>
          <w:kern w:val="0"/>
          <w:lang w:val="en-US"/>
          <w14:ligatures w14:val="none"/>
        </w:rPr>
      </w:pPr>
      <w:r w:rsidRPr="009653C2">
        <w:rPr>
          <w:rFonts w:ascii="Times New Roman" w:eastAsia="Times New Roman" w:hAnsi="Times New Roman" w:cs="Times New Roman"/>
          <w:kern w:val="0"/>
          <w:lang w:val="en-US"/>
          <w14:ligatures w14:val="none"/>
        </w:rPr>
        <w:t>Kanze, D., Huang, L., &amp; Conley, M. A. (2018). We ask men to win and women not to lose: Closing the gender gap in startup funding. Academy of Management Journal, 61(2), 586–614.</w:t>
      </w:r>
    </w:p>
    <w:p w14:paraId="0A71AE59" w14:textId="77777777" w:rsidR="00821395" w:rsidRPr="009653C2" w:rsidRDefault="00821395" w:rsidP="009653C2">
      <w:pPr>
        <w:contextualSpacing/>
        <w:rPr>
          <w:rFonts w:ascii="Times New Roman" w:eastAsia="Times New Roman" w:hAnsi="Times New Roman" w:cs="Times New Roman"/>
          <w:kern w:val="0"/>
          <w:lang w:val="en-US"/>
          <w14:ligatures w14:val="none"/>
        </w:rPr>
      </w:pPr>
    </w:p>
    <w:p w14:paraId="62768DAF" w14:textId="77777777" w:rsidR="007A361D" w:rsidRPr="009653C2" w:rsidRDefault="007A361D" w:rsidP="007A361D">
      <w:pPr>
        <w:ind w:left="720" w:hanging="720"/>
        <w:contextualSpacing/>
        <w:rPr>
          <w:rFonts w:ascii="Times New Roman" w:eastAsia="Times New Roman" w:hAnsi="Times New Roman" w:cs="Times New Roman"/>
          <w:kern w:val="0"/>
          <w:lang w:val="en-US"/>
          <w14:ligatures w14:val="none"/>
        </w:rPr>
      </w:pPr>
      <w:r w:rsidRPr="009653C2">
        <w:rPr>
          <w:rFonts w:ascii="Times New Roman" w:eastAsia="Times New Roman" w:hAnsi="Times New Roman" w:cs="Times New Roman"/>
          <w:kern w:val="0"/>
          <w:lang w:val="en-US"/>
          <w14:ligatures w14:val="none"/>
        </w:rPr>
        <w:t>Podsakoff, P. M., MacKenzie, S. B., Lee, J. Y., &amp; Podsakoff, N. P. (2003). Common method biases in behavioral research: A critical review of the literature and recommended remedies. Journal of Applied Psychology, 88(5), 879–903.</w:t>
      </w:r>
    </w:p>
    <w:p w14:paraId="503D7F8F" w14:textId="77777777" w:rsidR="007A361D" w:rsidRPr="009653C2" w:rsidRDefault="007A361D" w:rsidP="007A361D">
      <w:pPr>
        <w:ind w:left="720" w:hanging="720"/>
        <w:contextualSpacing/>
        <w:rPr>
          <w:rFonts w:ascii="Times New Roman" w:eastAsia="Times New Roman" w:hAnsi="Times New Roman" w:cs="Times New Roman"/>
          <w:kern w:val="0"/>
          <w:lang w:val="en-US"/>
          <w14:ligatures w14:val="none"/>
        </w:rPr>
      </w:pPr>
    </w:p>
    <w:p w14:paraId="7BBDE341" w14:textId="77777777" w:rsidR="007A361D" w:rsidRPr="009653C2" w:rsidRDefault="007A361D" w:rsidP="007A361D">
      <w:pPr>
        <w:ind w:left="720" w:hanging="720"/>
        <w:contextualSpacing/>
        <w:rPr>
          <w:rFonts w:ascii="Times New Roman" w:eastAsia="Times New Roman" w:hAnsi="Times New Roman" w:cs="Times New Roman"/>
          <w:kern w:val="0"/>
          <w:lang w:val="en-US"/>
          <w14:ligatures w14:val="none"/>
        </w:rPr>
      </w:pPr>
      <w:r w:rsidRPr="009653C2">
        <w:rPr>
          <w:rFonts w:ascii="Times New Roman" w:eastAsia="Times New Roman" w:hAnsi="Times New Roman" w:cs="Times New Roman"/>
          <w:kern w:val="0"/>
          <w:lang w:val="en-US"/>
          <w14:ligatures w14:val="none"/>
        </w:rPr>
        <w:t>Rogelberg, S. G., &amp; Stanton, J. M. (2007). Introduction: Understanding and dealing with organizational survey nonresponse. Organizational Research Methods, 10(2), 195–209.</w:t>
      </w:r>
    </w:p>
    <w:p w14:paraId="74624AC2" w14:textId="77777777" w:rsidR="007A361D" w:rsidRPr="009653C2" w:rsidRDefault="007A361D" w:rsidP="007A361D">
      <w:pPr>
        <w:ind w:left="720" w:hanging="720"/>
        <w:contextualSpacing/>
        <w:rPr>
          <w:rFonts w:ascii="Times New Roman" w:eastAsia="Times New Roman" w:hAnsi="Times New Roman" w:cs="Times New Roman"/>
          <w:kern w:val="0"/>
          <w:lang w:val="en-US"/>
          <w14:ligatures w14:val="none"/>
        </w:rPr>
      </w:pPr>
    </w:p>
    <w:p w14:paraId="684B66EE" w14:textId="42407B4A" w:rsidR="007A361D" w:rsidRPr="009653C2" w:rsidRDefault="007A361D" w:rsidP="007A361D">
      <w:pPr>
        <w:ind w:left="720" w:hanging="720"/>
        <w:contextualSpacing/>
        <w:rPr>
          <w:rFonts w:ascii="Times New Roman" w:eastAsia="Times New Roman" w:hAnsi="Times New Roman" w:cs="Times New Roman"/>
          <w:kern w:val="0"/>
          <w:lang w:val="en-US"/>
          <w14:ligatures w14:val="none"/>
        </w:rPr>
      </w:pPr>
      <w:r w:rsidRPr="009653C2">
        <w:rPr>
          <w:rFonts w:ascii="Times New Roman" w:eastAsia="Times New Roman" w:hAnsi="Times New Roman" w:cs="Times New Roman"/>
          <w:kern w:val="0"/>
          <w:lang w:val="en-US"/>
          <w14:ligatures w14:val="none"/>
        </w:rPr>
        <w:t>Scheier, M. F., Carver, C. S., &amp; Bridges, M. W. (1994). Distinguishing optimism from neuroticism (and trait anxiety, self-mastery, and self-esteem): A reevaluation of the Life Orientation Test. Journal of Personality and Social Psychology, 67(6), 1063–1078.</w:t>
      </w:r>
    </w:p>
    <w:p w14:paraId="5A85FAF7" w14:textId="77777777" w:rsidR="007A361D" w:rsidRPr="009653C2" w:rsidRDefault="007A361D" w:rsidP="007A361D">
      <w:pPr>
        <w:ind w:left="720" w:hanging="720"/>
        <w:contextualSpacing/>
        <w:rPr>
          <w:rFonts w:ascii="Times New Roman" w:eastAsia="Times New Roman" w:hAnsi="Times New Roman" w:cs="Times New Roman"/>
          <w:kern w:val="0"/>
          <w:lang w:val="en-US"/>
          <w14:ligatures w14:val="none"/>
        </w:rPr>
      </w:pPr>
    </w:p>
    <w:p w14:paraId="24043A63" w14:textId="77777777" w:rsidR="007A361D" w:rsidRPr="009653C2" w:rsidRDefault="007A361D" w:rsidP="007A361D">
      <w:pPr>
        <w:ind w:left="720" w:hanging="720"/>
        <w:contextualSpacing/>
        <w:rPr>
          <w:rFonts w:ascii="Times New Roman" w:eastAsia="Times New Roman" w:hAnsi="Times New Roman" w:cs="Times New Roman"/>
          <w:kern w:val="0"/>
          <w:lang w:val="en-US"/>
          <w14:ligatures w14:val="none"/>
        </w:rPr>
      </w:pPr>
      <w:r w:rsidRPr="009653C2">
        <w:rPr>
          <w:rFonts w:ascii="Times New Roman" w:eastAsia="Times New Roman" w:hAnsi="Times New Roman" w:cs="Times New Roman"/>
          <w:kern w:val="0"/>
          <w:lang w:val="en-US"/>
          <w14:ligatures w14:val="none"/>
        </w:rPr>
        <w:lastRenderedPageBreak/>
        <w:t>Thomke, S. H. (2020). Experimentation Works: The Surprising Power of Business Experiments. Harvard Business Press.</w:t>
      </w:r>
    </w:p>
    <w:p w14:paraId="1444C8F4" w14:textId="77777777" w:rsidR="007A361D" w:rsidRPr="009653C2" w:rsidRDefault="007A361D" w:rsidP="007A361D">
      <w:pPr>
        <w:ind w:left="720" w:hanging="720"/>
        <w:contextualSpacing/>
        <w:rPr>
          <w:rFonts w:ascii="Times New Roman" w:eastAsia="Times New Roman" w:hAnsi="Times New Roman" w:cs="Times New Roman"/>
          <w:kern w:val="0"/>
          <w:lang w:val="en-US"/>
          <w14:ligatures w14:val="none"/>
        </w:rPr>
      </w:pPr>
    </w:p>
    <w:p w14:paraId="42F04F7A" w14:textId="77777777" w:rsidR="007A361D" w:rsidRPr="007A361D" w:rsidRDefault="007A361D" w:rsidP="007A361D">
      <w:pPr>
        <w:ind w:left="720" w:hanging="720"/>
        <w:contextualSpacing/>
        <w:rPr>
          <w:rFonts w:ascii="Times New Roman" w:eastAsia="Times New Roman" w:hAnsi="Times New Roman" w:cs="Times New Roman"/>
          <w:kern w:val="0"/>
          <w:lang w:val="en-US"/>
          <w14:ligatures w14:val="none"/>
        </w:rPr>
      </w:pPr>
      <w:r w:rsidRPr="009653C2">
        <w:rPr>
          <w:rFonts w:ascii="Times New Roman" w:eastAsia="Times New Roman" w:hAnsi="Times New Roman" w:cs="Times New Roman"/>
          <w:kern w:val="0"/>
          <w:lang w:val="en-US"/>
          <w14:ligatures w14:val="none"/>
        </w:rPr>
        <w:t xml:space="preserve">Vancouver, J. B., Thompson, C. M., &amp; Williams, A. </w:t>
      </w:r>
      <w:r w:rsidRPr="007A361D">
        <w:rPr>
          <w:rFonts w:ascii="Times New Roman" w:eastAsia="Times New Roman" w:hAnsi="Times New Roman" w:cs="Times New Roman"/>
          <w:kern w:val="0"/>
          <w:lang w:val="en-US"/>
          <w14:ligatures w14:val="none"/>
        </w:rPr>
        <w:t>A. (2001). The changing signs in the relationships among self-efficacy, personal goals, and performance. Journal of applied psychology, 86(4), 605–620.</w:t>
      </w:r>
    </w:p>
    <w:p w14:paraId="1825CDBF" w14:textId="77777777" w:rsidR="007A361D" w:rsidRPr="007A361D" w:rsidRDefault="007A361D" w:rsidP="007A361D">
      <w:pPr>
        <w:contextualSpacing/>
        <w:rPr>
          <w:rFonts w:ascii="Times New Roman" w:eastAsia="Times New Roman" w:hAnsi="Times New Roman" w:cs="Times New Roman"/>
          <w:kern w:val="0"/>
          <w:lang w:val="en-US"/>
          <w14:ligatures w14:val="none"/>
        </w:rPr>
      </w:pPr>
    </w:p>
    <w:p w14:paraId="66C43724" w14:textId="3E08FE57" w:rsidR="007A361D" w:rsidRPr="007A361D" w:rsidRDefault="007A361D" w:rsidP="009653C2">
      <w:pPr>
        <w:ind w:left="720" w:hanging="720"/>
        <w:contextualSpacing/>
        <w:rPr>
          <w:rFonts w:ascii="Times New Roman" w:eastAsia="Times New Roman" w:hAnsi="Times New Roman" w:cs="Times New Roman"/>
          <w:kern w:val="0"/>
          <w:lang w:val="en-US"/>
          <w14:ligatures w14:val="none"/>
        </w:rPr>
      </w:pPr>
      <w:r w:rsidRPr="007A361D">
        <w:rPr>
          <w:rFonts w:ascii="Times New Roman" w:eastAsia="Times New Roman" w:hAnsi="Times New Roman" w:cs="Times New Roman"/>
          <w:kern w:val="0"/>
          <w:lang w:val="en-US"/>
          <w14:ligatures w14:val="none"/>
        </w:rPr>
        <w:t>Vancouver, J. B., More, K. M., &amp; Yoder, R. J. (2008). Self-efficacy and resource allocation: support for a nonmonotonic, discontinuous model. Journal of Applied Psychology, 93(1), 35–47.</w:t>
      </w:r>
    </w:p>
    <w:p w14:paraId="3805520F" w14:textId="77777777" w:rsidR="007A361D" w:rsidRPr="007A361D" w:rsidRDefault="007A361D" w:rsidP="007A361D">
      <w:pPr>
        <w:ind w:left="720" w:hanging="720"/>
        <w:contextualSpacing/>
        <w:rPr>
          <w:rFonts w:ascii="Times New Roman" w:eastAsia="Times New Roman" w:hAnsi="Times New Roman" w:cs="Times New Roman"/>
          <w:kern w:val="0"/>
          <w:lang w:val="en-US"/>
          <w14:ligatures w14:val="none"/>
        </w:rPr>
      </w:pPr>
    </w:p>
    <w:p w14:paraId="29D86BB1" w14:textId="77777777" w:rsidR="007A361D" w:rsidRPr="007A361D" w:rsidRDefault="007A361D" w:rsidP="007A361D">
      <w:pPr>
        <w:ind w:left="720" w:hanging="720"/>
        <w:contextualSpacing/>
        <w:rPr>
          <w:rFonts w:ascii="Times New Roman" w:eastAsia="Times New Roman" w:hAnsi="Times New Roman" w:cs="Times New Roman"/>
          <w:kern w:val="0"/>
          <w:lang w:val="en-US"/>
          <w14:ligatures w14:val="none"/>
        </w:rPr>
      </w:pPr>
    </w:p>
    <w:p w14:paraId="695CEF05" w14:textId="77777777" w:rsidR="007A361D" w:rsidRPr="007A361D" w:rsidRDefault="007A361D" w:rsidP="007A361D">
      <w:pPr>
        <w:ind w:left="720" w:hanging="720"/>
        <w:contextualSpacing/>
        <w:rPr>
          <w:rFonts w:ascii="Times New Roman" w:eastAsia="Times New Roman" w:hAnsi="Times New Roman" w:cs="Times New Roman"/>
          <w:kern w:val="0"/>
          <w:lang w:val="en-US"/>
          <w14:ligatures w14:val="none"/>
        </w:rPr>
      </w:pPr>
    </w:p>
    <w:p w14:paraId="4D13152B" w14:textId="77777777" w:rsidR="007A361D" w:rsidRPr="007B641C" w:rsidRDefault="007A361D" w:rsidP="00320DD4">
      <w:pPr>
        <w:rPr>
          <w:rFonts w:ascii="Times New Roman" w:hAnsi="Times New Roman" w:cs="Times New Roman"/>
          <w:lang w:val="en-US"/>
        </w:rPr>
      </w:pPr>
    </w:p>
    <w:sectPr w:rsidR="007A361D" w:rsidRPr="007B641C">
      <w:headerReference w:type="even" r:id="rId6"/>
      <w:head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EB0FBE" w14:textId="77777777" w:rsidR="0026219F" w:rsidRDefault="0026219F" w:rsidP="00320DD4">
      <w:r>
        <w:separator/>
      </w:r>
    </w:p>
  </w:endnote>
  <w:endnote w:type="continuationSeparator" w:id="0">
    <w:p w14:paraId="4EF2AA74" w14:textId="77777777" w:rsidR="0026219F" w:rsidRDefault="0026219F" w:rsidP="00320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C6B5E0" w14:textId="77777777" w:rsidR="0026219F" w:rsidRDefault="0026219F" w:rsidP="00320DD4">
      <w:r>
        <w:separator/>
      </w:r>
    </w:p>
  </w:footnote>
  <w:footnote w:type="continuationSeparator" w:id="0">
    <w:p w14:paraId="30C54FE2" w14:textId="77777777" w:rsidR="0026219F" w:rsidRDefault="0026219F" w:rsidP="00320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2048875510"/>
      <w:docPartObj>
        <w:docPartGallery w:val="Page Numbers (Top of Page)"/>
        <w:docPartUnique/>
      </w:docPartObj>
    </w:sdtPr>
    <w:sdtContent>
      <w:p w14:paraId="25924C67" w14:textId="5ACB9073" w:rsidR="0098464D" w:rsidRDefault="0098464D" w:rsidP="00541CD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04D03AA" w14:textId="77777777" w:rsidR="0098464D" w:rsidRDefault="0098464D" w:rsidP="0098464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Fonts w:ascii="Times New Roman" w:hAnsi="Times New Roman" w:cs="Times New Roman"/>
      </w:rPr>
      <w:id w:val="-11532594"/>
      <w:docPartObj>
        <w:docPartGallery w:val="Page Numbers (Top of Page)"/>
        <w:docPartUnique/>
      </w:docPartObj>
    </w:sdtPr>
    <w:sdtContent>
      <w:p w14:paraId="6C279BC3" w14:textId="197CEDBA" w:rsidR="0098464D" w:rsidRPr="0098464D" w:rsidRDefault="0098464D" w:rsidP="00541CD8">
        <w:pPr>
          <w:pStyle w:val="Header"/>
          <w:framePr w:wrap="none" w:vAnchor="text" w:hAnchor="margin" w:xAlign="right" w:y="1"/>
          <w:rPr>
            <w:rStyle w:val="PageNumber"/>
            <w:rFonts w:ascii="Times New Roman" w:hAnsi="Times New Roman" w:cs="Times New Roman"/>
          </w:rPr>
        </w:pPr>
        <w:r w:rsidRPr="0098464D">
          <w:rPr>
            <w:rStyle w:val="PageNumber"/>
            <w:rFonts w:ascii="Times New Roman" w:hAnsi="Times New Roman" w:cs="Times New Roman"/>
          </w:rPr>
          <w:fldChar w:fldCharType="begin"/>
        </w:r>
        <w:r w:rsidRPr="0098464D">
          <w:rPr>
            <w:rStyle w:val="PageNumber"/>
            <w:rFonts w:ascii="Times New Roman" w:hAnsi="Times New Roman" w:cs="Times New Roman"/>
          </w:rPr>
          <w:instrText xml:space="preserve"> PAGE </w:instrText>
        </w:r>
        <w:r w:rsidRPr="0098464D">
          <w:rPr>
            <w:rStyle w:val="PageNumber"/>
            <w:rFonts w:ascii="Times New Roman" w:hAnsi="Times New Roman" w:cs="Times New Roman"/>
          </w:rPr>
          <w:fldChar w:fldCharType="separate"/>
        </w:r>
        <w:r w:rsidRPr="0098464D">
          <w:rPr>
            <w:rStyle w:val="PageNumber"/>
            <w:rFonts w:ascii="Times New Roman" w:hAnsi="Times New Roman" w:cs="Times New Roman"/>
            <w:noProof/>
          </w:rPr>
          <w:t>1</w:t>
        </w:r>
        <w:r w:rsidRPr="0098464D">
          <w:rPr>
            <w:rStyle w:val="PageNumber"/>
            <w:rFonts w:ascii="Times New Roman" w:hAnsi="Times New Roman" w:cs="Times New Roman"/>
          </w:rPr>
          <w:fldChar w:fldCharType="end"/>
        </w:r>
      </w:p>
    </w:sdtContent>
  </w:sdt>
  <w:p w14:paraId="3E093254" w14:textId="4F1F2AF5" w:rsidR="0098464D" w:rsidRPr="0098464D" w:rsidRDefault="0098464D" w:rsidP="0098464D">
    <w:pPr>
      <w:pStyle w:val="Header"/>
      <w:ind w:right="360"/>
      <w:rPr>
        <w:rFonts w:ascii="Times New Roman" w:eastAsia="Times New Roman" w:hAnsi="Times New Roman" w:cs="Times New Roman"/>
        <w:kern w:val="0"/>
        <w:sz w:val="22"/>
        <w:szCs w:val="22"/>
        <w:lang w:val="en-US"/>
        <w14:ligatures w14:val="none"/>
      </w:rPr>
    </w:pPr>
    <w:r w:rsidRPr="0098464D">
      <w:rPr>
        <w:rFonts w:ascii="Times New Roman" w:eastAsia="Times New Roman" w:hAnsi="Times New Roman" w:cs="Times New Roman"/>
        <w:kern w:val="0"/>
        <w:sz w:val="22"/>
        <w:szCs w:val="22"/>
        <w:lang w:val="en-US"/>
        <w14:ligatures w14:val="none"/>
      </w:rPr>
      <w:t>APPENDIX</w:t>
    </w:r>
    <w:r w:rsidR="001B2D59">
      <w:rPr>
        <w:rFonts w:ascii="Times New Roman" w:eastAsia="Times New Roman" w:hAnsi="Times New Roman" w:cs="Times New Roman"/>
        <w:kern w:val="0"/>
        <w:sz w:val="22"/>
        <w:szCs w:val="22"/>
        <w:lang w:val="en-US"/>
        <w14:ligatures w14:val="none"/>
      </w:rPr>
      <w:t xml:space="preserve"> A</w:t>
    </w:r>
    <w:r w:rsidRPr="0098464D">
      <w:rPr>
        <w:rFonts w:ascii="Times New Roman" w:eastAsia="Times New Roman" w:hAnsi="Times New Roman" w:cs="Times New Roman"/>
        <w:kern w:val="0"/>
        <w:sz w:val="22"/>
        <w:szCs w:val="22"/>
        <w:lang w:val="en-US"/>
        <w14:ligatures w14:val="none"/>
      </w:rPr>
      <w:t>: SELF-PROMOTION AND PROACTIVE ADAPTATION</w:t>
    </w:r>
  </w:p>
  <w:p w14:paraId="485E7E7F" w14:textId="01DCA141" w:rsidR="0098464D" w:rsidRDefault="0098464D" w:rsidP="0098464D">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DD4"/>
    <w:rsid w:val="00001C1A"/>
    <w:rsid w:val="00005C5F"/>
    <w:rsid w:val="00086D9C"/>
    <w:rsid w:val="00097DE1"/>
    <w:rsid w:val="000D16CB"/>
    <w:rsid w:val="00130F46"/>
    <w:rsid w:val="00150FA3"/>
    <w:rsid w:val="00161828"/>
    <w:rsid w:val="00172F5E"/>
    <w:rsid w:val="00173ACD"/>
    <w:rsid w:val="001B2D59"/>
    <w:rsid w:val="00217443"/>
    <w:rsid w:val="00240B26"/>
    <w:rsid w:val="00252665"/>
    <w:rsid w:val="0026219F"/>
    <w:rsid w:val="002632F2"/>
    <w:rsid w:val="00287AAB"/>
    <w:rsid w:val="00297D10"/>
    <w:rsid w:val="00312A45"/>
    <w:rsid w:val="00312C73"/>
    <w:rsid w:val="00320DD4"/>
    <w:rsid w:val="00332C58"/>
    <w:rsid w:val="003B3E19"/>
    <w:rsid w:val="003D2B78"/>
    <w:rsid w:val="003D7DE7"/>
    <w:rsid w:val="004048F4"/>
    <w:rsid w:val="00413DEC"/>
    <w:rsid w:val="00440D1C"/>
    <w:rsid w:val="004525D0"/>
    <w:rsid w:val="0046650C"/>
    <w:rsid w:val="004755C9"/>
    <w:rsid w:val="00485137"/>
    <w:rsid w:val="00497736"/>
    <w:rsid w:val="004B1936"/>
    <w:rsid w:val="004C79ED"/>
    <w:rsid w:val="005353F2"/>
    <w:rsid w:val="005548E1"/>
    <w:rsid w:val="00557965"/>
    <w:rsid w:val="005644E3"/>
    <w:rsid w:val="00565A3E"/>
    <w:rsid w:val="005F620A"/>
    <w:rsid w:val="006652C8"/>
    <w:rsid w:val="00690043"/>
    <w:rsid w:val="0069009C"/>
    <w:rsid w:val="007136FC"/>
    <w:rsid w:val="00721F05"/>
    <w:rsid w:val="007523D3"/>
    <w:rsid w:val="00780683"/>
    <w:rsid w:val="007A361D"/>
    <w:rsid w:val="007A397F"/>
    <w:rsid w:val="007B2177"/>
    <w:rsid w:val="007B641C"/>
    <w:rsid w:val="007C5EB7"/>
    <w:rsid w:val="007D6C3F"/>
    <w:rsid w:val="007F4D0B"/>
    <w:rsid w:val="00821395"/>
    <w:rsid w:val="00826206"/>
    <w:rsid w:val="00826543"/>
    <w:rsid w:val="00840882"/>
    <w:rsid w:val="008923F6"/>
    <w:rsid w:val="00893FDD"/>
    <w:rsid w:val="008B3C2C"/>
    <w:rsid w:val="008C632C"/>
    <w:rsid w:val="00900CC1"/>
    <w:rsid w:val="0092014D"/>
    <w:rsid w:val="00946AAB"/>
    <w:rsid w:val="009516FA"/>
    <w:rsid w:val="009653C2"/>
    <w:rsid w:val="0098464D"/>
    <w:rsid w:val="00987F10"/>
    <w:rsid w:val="0099284B"/>
    <w:rsid w:val="00994D6A"/>
    <w:rsid w:val="009B0C34"/>
    <w:rsid w:val="009B31C7"/>
    <w:rsid w:val="009C6E91"/>
    <w:rsid w:val="009E44B0"/>
    <w:rsid w:val="00A279A9"/>
    <w:rsid w:val="00A36E9D"/>
    <w:rsid w:val="00A75534"/>
    <w:rsid w:val="00A773F1"/>
    <w:rsid w:val="00A93CC6"/>
    <w:rsid w:val="00A94871"/>
    <w:rsid w:val="00AD1618"/>
    <w:rsid w:val="00AD2FB7"/>
    <w:rsid w:val="00AE28A3"/>
    <w:rsid w:val="00AE2D8E"/>
    <w:rsid w:val="00B34286"/>
    <w:rsid w:val="00B65FF7"/>
    <w:rsid w:val="00BA7C2A"/>
    <w:rsid w:val="00BD74F6"/>
    <w:rsid w:val="00C027FB"/>
    <w:rsid w:val="00C236BD"/>
    <w:rsid w:val="00C45EA5"/>
    <w:rsid w:val="00C4707C"/>
    <w:rsid w:val="00C8266C"/>
    <w:rsid w:val="00C840E0"/>
    <w:rsid w:val="00C960E2"/>
    <w:rsid w:val="00D10D61"/>
    <w:rsid w:val="00D3201A"/>
    <w:rsid w:val="00D65F76"/>
    <w:rsid w:val="00DA28CE"/>
    <w:rsid w:val="00DA747A"/>
    <w:rsid w:val="00DD2CBB"/>
    <w:rsid w:val="00DF7C1C"/>
    <w:rsid w:val="00E019B0"/>
    <w:rsid w:val="00E05721"/>
    <w:rsid w:val="00E1692A"/>
    <w:rsid w:val="00E9209F"/>
    <w:rsid w:val="00EC3A9A"/>
    <w:rsid w:val="00F7522C"/>
    <w:rsid w:val="00FC31FE"/>
    <w:rsid w:val="00FD7A1A"/>
    <w:rsid w:val="00FF240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201CF0F3"/>
  <w15:chartTrackingRefBased/>
  <w15:docId w15:val="{54D9D5D1-E71C-9346-98AF-3CC0E4CBD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C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0D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0D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0D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0D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20D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20DD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0DD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0DD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0DD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0D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20D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0D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0D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20D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20D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0D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0D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0DD4"/>
    <w:rPr>
      <w:rFonts w:eastAsiaTheme="majorEastAsia" w:cstheme="majorBidi"/>
      <w:color w:val="272727" w:themeColor="text1" w:themeTint="D8"/>
    </w:rPr>
  </w:style>
  <w:style w:type="paragraph" w:styleId="Title">
    <w:name w:val="Title"/>
    <w:basedOn w:val="Normal"/>
    <w:next w:val="Normal"/>
    <w:link w:val="TitleChar"/>
    <w:uiPriority w:val="10"/>
    <w:qFormat/>
    <w:rsid w:val="00320DD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0D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0DD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0D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0DD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20DD4"/>
    <w:rPr>
      <w:i/>
      <w:iCs/>
      <w:color w:val="404040" w:themeColor="text1" w:themeTint="BF"/>
    </w:rPr>
  </w:style>
  <w:style w:type="paragraph" w:styleId="ListParagraph">
    <w:name w:val="List Paragraph"/>
    <w:basedOn w:val="Normal"/>
    <w:uiPriority w:val="34"/>
    <w:qFormat/>
    <w:rsid w:val="00320DD4"/>
    <w:pPr>
      <w:ind w:left="720"/>
      <w:contextualSpacing/>
    </w:pPr>
  </w:style>
  <w:style w:type="character" w:styleId="IntenseEmphasis">
    <w:name w:val="Intense Emphasis"/>
    <w:basedOn w:val="DefaultParagraphFont"/>
    <w:uiPriority w:val="21"/>
    <w:qFormat/>
    <w:rsid w:val="00320DD4"/>
    <w:rPr>
      <w:i/>
      <w:iCs/>
      <w:color w:val="0F4761" w:themeColor="accent1" w:themeShade="BF"/>
    </w:rPr>
  </w:style>
  <w:style w:type="paragraph" w:styleId="IntenseQuote">
    <w:name w:val="Intense Quote"/>
    <w:basedOn w:val="Normal"/>
    <w:next w:val="Normal"/>
    <w:link w:val="IntenseQuoteChar"/>
    <w:uiPriority w:val="30"/>
    <w:qFormat/>
    <w:rsid w:val="00320D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0DD4"/>
    <w:rPr>
      <w:i/>
      <w:iCs/>
      <w:color w:val="0F4761" w:themeColor="accent1" w:themeShade="BF"/>
    </w:rPr>
  </w:style>
  <w:style w:type="character" w:styleId="IntenseReference">
    <w:name w:val="Intense Reference"/>
    <w:basedOn w:val="DefaultParagraphFont"/>
    <w:uiPriority w:val="32"/>
    <w:qFormat/>
    <w:rsid w:val="00320DD4"/>
    <w:rPr>
      <w:b/>
      <w:bCs/>
      <w:smallCaps/>
      <w:color w:val="0F4761" w:themeColor="accent1" w:themeShade="BF"/>
      <w:spacing w:val="5"/>
    </w:rPr>
  </w:style>
  <w:style w:type="paragraph" w:styleId="FootnoteText">
    <w:name w:val="footnote text"/>
    <w:basedOn w:val="Normal"/>
    <w:link w:val="FootnoteTextChar"/>
    <w:uiPriority w:val="99"/>
    <w:unhideWhenUsed/>
    <w:rsid w:val="00320DD4"/>
    <w:rPr>
      <w:sz w:val="20"/>
      <w:szCs w:val="20"/>
    </w:rPr>
  </w:style>
  <w:style w:type="character" w:customStyle="1" w:styleId="FootnoteTextChar">
    <w:name w:val="Footnote Text Char"/>
    <w:basedOn w:val="DefaultParagraphFont"/>
    <w:link w:val="FootnoteText"/>
    <w:uiPriority w:val="99"/>
    <w:rsid w:val="00320DD4"/>
    <w:rPr>
      <w:sz w:val="20"/>
      <w:szCs w:val="20"/>
    </w:rPr>
  </w:style>
  <w:style w:type="character" w:styleId="FootnoteReference">
    <w:name w:val="footnote reference"/>
    <w:basedOn w:val="DefaultParagraphFont"/>
    <w:uiPriority w:val="99"/>
    <w:unhideWhenUsed/>
    <w:rsid w:val="00320DD4"/>
    <w:rPr>
      <w:vertAlign w:val="superscript"/>
    </w:rPr>
  </w:style>
  <w:style w:type="table" w:customStyle="1" w:styleId="TableGrid1">
    <w:name w:val="Table Grid1"/>
    <w:basedOn w:val="TableNormal"/>
    <w:next w:val="TableGrid"/>
    <w:uiPriority w:val="39"/>
    <w:rsid w:val="00F7522C"/>
    <w:rPr>
      <w:kern w:val="0"/>
      <w:sz w:val="22"/>
      <w:szCs w:val="22"/>
      <w:lang w:val="fr-C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752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99"/>
    <w:rsid w:val="0092014D"/>
    <w:rPr>
      <w:rFonts w:eastAsiaTheme="minorEastAsia"/>
      <w:kern w:val="0"/>
      <w:sz w:val="22"/>
      <w:szCs w:val="22"/>
      <w:lang w:val="en-US" w:eastAsia="ko-KR"/>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Header">
    <w:name w:val="header"/>
    <w:basedOn w:val="Normal"/>
    <w:link w:val="HeaderChar"/>
    <w:uiPriority w:val="99"/>
    <w:unhideWhenUsed/>
    <w:rsid w:val="0098464D"/>
    <w:pPr>
      <w:tabs>
        <w:tab w:val="center" w:pos="4680"/>
        <w:tab w:val="right" w:pos="9360"/>
      </w:tabs>
    </w:pPr>
  </w:style>
  <w:style w:type="character" w:customStyle="1" w:styleId="HeaderChar">
    <w:name w:val="Header Char"/>
    <w:basedOn w:val="DefaultParagraphFont"/>
    <w:link w:val="Header"/>
    <w:uiPriority w:val="99"/>
    <w:rsid w:val="0098464D"/>
  </w:style>
  <w:style w:type="paragraph" w:styleId="Footer">
    <w:name w:val="footer"/>
    <w:basedOn w:val="Normal"/>
    <w:link w:val="FooterChar"/>
    <w:uiPriority w:val="99"/>
    <w:unhideWhenUsed/>
    <w:rsid w:val="0098464D"/>
    <w:pPr>
      <w:tabs>
        <w:tab w:val="center" w:pos="4680"/>
        <w:tab w:val="right" w:pos="9360"/>
      </w:tabs>
    </w:pPr>
  </w:style>
  <w:style w:type="character" w:customStyle="1" w:styleId="FooterChar">
    <w:name w:val="Footer Char"/>
    <w:basedOn w:val="DefaultParagraphFont"/>
    <w:link w:val="Footer"/>
    <w:uiPriority w:val="99"/>
    <w:rsid w:val="0098464D"/>
  </w:style>
  <w:style w:type="character" w:styleId="PageNumber">
    <w:name w:val="page number"/>
    <w:basedOn w:val="DefaultParagraphFont"/>
    <w:uiPriority w:val="99"/>
    <w:semiHidden/>
    <w:unhideWhenUsed/>
    <w:rsid w:val="0098464D"/>
  </w:style>
  <w:style w:type="table" w:styleId="GridTable1Light">
    <w:name w:val="Grid Table 1 Light"/>
    <w:basedOn w:val="TableNormal"/>
    <w:uiPriority w:val="46"/>
    <w:rsid w:val="00FC31FE"/>
    <w:rPr>
      <w:rFonts w:ascii="Cambria" w:eastAsia="Cambria" w:hAnsi="Cambria" w:cs="Times New Roman"/>
      <w:kern w:val="0"/>
      <w:sz w:val="20"/>
      <w:szCs w:val="2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5</Pages>
  <Words>1312</Words>
  <Characters>7483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Jean-François Harvey</dc:creator>
  <cp:keywords/>
  <dc:description/>
  <cp:lastModifiedBy>Jean-François Harvey</cp:lastModifiedBy>
  <cp:revision>14</cp:revision>
  <dcterms:created xsi:type="dcterms:W3CDTF">2024-09-06T17:09:00Z</dcterms:created>
  <dcterms:modified xsi:type="dcterms:W3CDTF">2024-09-18T18:41:00Z</dcterms:modified>
</cp:coreProperties>
</file>